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F980A">
      <w:pPr>
        <w:ind w:left="371" w:hanging="371" w:hangingChars="132"/>
        <w:jc w:val="center"/>
        <w:rPr>
          <w:rFonts w:ascii="宋体" w:hAnsi="宋体" w:eastAsia="宋体"/>
          <w:b/>
          <w:color w:val="000000" w:themeColor="text1"/>
          <w:sz w:val="28"/>
          <w:szCs w:val="24"/>
          <w14:textFill>
            <w14:solidFill>
              <w14:schemeClr w14:val="tx1"/>
            </w14:solidFill>
          </w14:textFill>
        </w:rPr>
      </w:pPr>
      <w:r>
        <w:rPr>
          <w:rFonts w:hint="eastAsia" w:ascii="宋体" w:hAnsi="宋体" w:eastAsia="宋体"/>
          <w:b/>
          <w:color w:val="000000" w:themeColor="text1"/>
          <w:sz w:val="28"/>
          <w:szCs w:val="24"/>
          <w14:textFill>
            <w14:solidFill>
              <w14:schemeClr w14:val="tx1"/>
            </w14:solidFill>
          </w14:textFill>
        </w:rPr>
        <w:t>附件</w:t>
      </w:r>
      <w:r>
        <w:rPr>
          <w:rFonts w:hint="eastAsia" w:ascii="宋体" w:hAnsi="宋体" w:eastAsia="宋体"/>
          <w:b/>
          <w:color w:val="000000" w:themeColor="text1"/>
          <w:sz w:val="28"/>
          <w:szCs w:val="24"/>
          <w:lang w:val="en-US" w:eastAsia="zh-CN"/>
          <w14:textFill>
            <w14:solidFill>
              <w14:schemeClr w14:val="tx1"/>
            </w14:solidFill>
          </w14:textFill>
        </w:rPr>
        <w:t>八</w:t>
      </w:r>
      <w:r>
        <w:rPr>
          <w:rFonts w:hint="eastAsia" w:ascii="宋体" w:hAnsi="宋体" w:eastAsia="宋体"/>
          <w:b/>
          <w:color w:val="000000" w:themeColor="text1"/>
          <w:sz w:val="28"/>
          <w:szCs w:val="24"/>
          <w14:textFill>
            <w14:solidFill>
              <w14:schemeClr w14:val="tx1"/>
            </w14:solidFill>
          </w14:textFill>
        </w:rPr>
        <w:t xml:space="preserve"> 室间质量评价相关指标说明</w:t>
      </w:r>
    </w:p>
    <w:p w14:paraId="1AD62EF6">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1</w:t>
      </w:r>
      <w:r>
        <w:rPr>
          <w:rFonts w:ascii="宋体" w:hAnsi="宋体" w:eastAsia="宋体"/>
          <w:b/>
          <w:bCs/>
          <w:color w:val="000000" w:themeColor="text1"/>
          <w:kern w:val="0"/>
          <w:sz w:val="24"/>
          <w:szCs w:val="24"/>
          <w14:textFill>
            <w14:solidFill>
              <w14:schemeClr w14:val="tx1"/>
            </w14:solidFill>
          </w14:textFill>
        </w:rPr>
        <w:t>.</w:t>
      </w:r>
      <w:r>
        <w:rPr>
          <w:rFonts w:hint="eastAsia" w:ascii="宋体" w:hAnsi="宋体" w:eastAsia="宋体"/>
          <w:b/>
          <w:bCs/>
          <w:color w:val="000000" w:themeColor="text1"/>
          <w:kern w:val="0"/>
          <w:sz w:val="24"/>
          <w:szCs w:val="24"/>
          <w14:textFill>
            <w14:solidFill>
              <w14:schemeClr w14:val="tx1"/>
            </w14:solidFill>
          </w14:textFill>
        </w:rPr>
        <w:t xml:space="preserve"> </w:t>
      </w:r>
      <w:r>
        <w:rPr>
          <w:rFonts w:hint="eastAsia" w:ascii="宋体" w:hAnsi="宋体" w:eastAsia="宋体"/>
          <w:b/>
          <w:color w:val="000000" w:themeColor="text1"/>
          <w:sz w:val="24"/>
          <w:szCs w:val="24"/>
          <w14:textFill>
            <w14:solidFill>
              <w14:schemeClr w14:val="tx1"/>
            </w14:solidFill>
          </w14:textFill>
        </w:rPr>
        <w:t>室间质评项目参加率</w:t>
      </w:r>
    </w:p>
    <w:p w14:paraId="4C91924E">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参加室间质评的检验项目数占同期特</w:t>
      </w:r>
      <w:bookmarkStart w:id="0" w:name="_GoBack"/>
      <w:bookmarkEnd w:id="0"/>
      <w:r>
        <w:rPr>
          <w:rFonts w:hint="eastAsia" w:ascii="宋体" w:hAnsi="宋体" w:eastAsia="宋体"/>
          <w:color w:val="000000" w:themeColor="text1"/>
          <w:sz w:val="24"/>
          <w:szCs w:val="24"/>
          <w14:textFill>
            <w14:solidFill>
              <w14:schemeClr w14:val="tx1"/>
            </w14:solidFill>
          </w14:textFill>
        </w:rPr>
        <w:t>定机构（国家、省级）已开展的室间质评项目总数的比例。</w:t>
      </w:r>
    </w:p>
    <w:p w14:paraId="7212C424">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pict>
          <v:shape id="内容占位符 6" o:spid="_x0000_s1026" o:spt="75" type="#_x0000_t75" style="position:absolute;left:0pt;margin-left:19.7pt;margin-top:2.45pt;height:33pt;width:384pt;z-index:251661312;mso-width-relative:page;mso-height-relative:page;" o:ole="t" filled="f" o:preferrelative="t" stroked="f" coordsize="21600,21600">
            <v:path/>
            <v:fill on="f" focussize="0,0"/>
            <v:stroke on="f" joinstyle="miter"/>
            <v:imagedata r:id="rId5" o:title=""/>
            <o:lock v:ext="edit" aspectratio="t"/>
          </v:shape>
          <o:OLEObject Type="Embed" ProgID="Equation.3" ShapeID="内容占位符 6" DrawAspect="Content" ObjectID="_1468075725" r:id="rId4">
            <o:LockedField>false</o:LockedField>
          </o:OLEObject>
        </w:pict>
      </w:r>
    </w:p>
    <w:p w14:paraId="41239230">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3215005</wp:posOffset>
                </wp:positionH>
                <wp:positionV relativeFrom="paragraph">
                  <wp:posOffset>190500</wp:posOffset>
                </wp:positionV>
                <wp:extent cx="106680" cy="659130"/>
                <wp:effectExtent l="19050" t="0" r="45720" b="46355"/>
                <wp:wrapNone/>
                <wp:docPr id="5" name="下箭头 5"/>
                <wp:cNvGraphicFramePr/>
                <a:graphic xmlns:a="http://schemas.openxmlformats.org/drawingml/2006/main">
                  <a:graphicData uri="http://schemas.microsoft.com/office/word/2010/wordprocessingShape">
                    <wps:wsp>
                      <wps:cNvSpPr/>
                      <wps:spPr>
                        <a:xfrm>
                          <a:off x="0" y="0"/>
                          <a:ext cx="106837" cy="65908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3.15pt;margin-top:15pt;height:51.9pt;width:8.4pt;z-index:251663360;v-text-anchor:middle;mso-width-relative:page;mso-height-relative:page;" fillcolor="#FFFFFF [3212]" filled="t" stroked="t" coordsize="21600,21600" o:gfxdata="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pxkatgAAAAKAQAADwAAAAAAAAABACAAAAAiAAAAZHJzL2Rvd25yZXYu&#10;eG1sUEsBAhQAFAAAAAgAh07iQOw0OQBtAgAA5AQAAA4AAAAAAAAAAQAgAAAAJwEAAGRycy9lMm9E&#10;b2MueG1sUEsFBgAAAAAGAAYAWQEAAAYGAAAAAA==&#10;" adj="19850,5400">
                <v:fill on="t" focussize="0,0"/>
                <v:stroke weight="1pt" color="#000000 [3213]" joinstyle="round"/>
                <v:imagedata o:title=""/>
                <o:lock v:ext="edit" aspectratio="f"/>
              </v:shape>
            </w:pict>
          </mc:Fallback>
        </mc:AlternateContent>
      </w:r>
      <w:r>
        <w:rPr>
          <w:rFonts w:hint="eastAsia" w:ascii="宋体" w:hAnsi="宋体" w:eastAsia="宋体"/>
          <w:b/>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1852295</wp:posOffset>
                </wp:positionH>
                <wp:positionV relativeFrom="paragraph">
                  <wp:posOffset>5715</wp:posOffset>
                </wp:positionV>
                <wp:extent cx="2790825" cy="184150"/>
                <wp:effectExtent l="0" t="0" r="9525" b="6350"/>
                <wp:wrapNone/>
                <wp:docPr id="3" name="矩形 3"/>
                <wp:cNvGraphicFramePr/>
                <a:graphic xmlns:a="http://schemas.openxmlformats.org/drawingml/2006/main">
                  <a:graphicData uri="http://schemas.microsoft.com/office/word/2010/wordprocessingShape">
                    <wps:wsp>
                      <wps:cNvSpPr/>
                      <wps:spPr>
                        <a:xfrm>
                          <a:off x="0" y="0"/>
                          <a:ext cx="2790967" cy="18424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0.45pt;height:14.5pt;width:219.75pt;z-index:251660288;v-text-anchor:middle;mso-width-relative:page;mso-height-relative:page;" fillcolor="#FFC000" filled="t" stroked="f" coordsize="21600,21600" o:gfxdata="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oC&#10;FdrUAAAABwEAAA8AAAAAAAAAAQAgAAAAIgAAAGRycy9kb3ducmV2LnhtbFBLAQIUABQAAAAIAIdO&#10;4kCjk+pYYAIAALQEAAAOAAAAAAAAAAEAIAAAACMBAABkcnMvZTJvRG9jLnhtbFBLBQYAAAAABgAG&#10;AFkBAAD1BQAAAAA=&#10;">
                <v:fill on="t" focussize="0,0"/>
                <v:stroke on="f" weight="2pt"/>
                <v:imagedata o:title=""/>
                <o:lock v:ext="edit" aspectratio="f"/>
              </v:rect>
            </w:pict>
          </mc:Fallback>
        </mc:AlternateContent>
      </w:r>
    </w:p>
    <w:p w14:paraId="44EE481D">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p>
    <w:p w14:paraId="37EB3443">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drawing>
          <wp:anchor distT="0" distB="0" distL="114300" distR="114300" simplePos="0" relativeHeight="251662336" behindDoc="0" locked="0" layoutInCell="1" allowOverlap="1">
            <wp:simplePos x="0" y="0"/>
            <wp:positionH relativeFrom="column">
              <wp:posOffset>2134235</wp:posOffset>
            </wp:positionH>
            <wp:positionV relativeFrom="paragraph">
              <wp:posOffset>10795</wp:posOffset>
            </wp:positionV>
            <wp:extent cx="2271395" cy="1101725"/>
            <wp:effectExtent l="0" t="0" r="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1395" cy="1101725"/>
                    </a:xfrm>
                    <a:prstGeom prst="rect">
                      <a:avLst/>
                    </a:prstGeom>
                  </pic:spPr>
                </pic:pic>
              </a:graphicData>
            </a:graphic>
          </wp:anchor>
        </w:drawing>
      </w:r>
    </w:p>
    <w:p w14:paraId="61B512B0">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p>
    <w:p w14:paraId="3BC555BA">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p>
    <w:p w14:paraId="7B89006C">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p>
    <w:p w14:paraId="4C1D9F30">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p>
    <w:p w14:paraId="288209D8">
      <w:pPr>
        <w:adjustRightInd w:val="0"/>
        <w:snapToGrid w:val="0"/>
        <w:spacing w:line="400" w:lineRule="exact"/>
        <w:ind w:firstLine="480"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Cs/>
          <w:color w:val="000000" w:themeColor="text1"/>
          <w:kern w:val="0"/>
          <w:sz w:val="24"/>
          <w:szCs w:val="24"/>
          <w:u w:val="single"/>
          <w14:textFill>
            <w14:solidFill>
              <w14:schemeClr w14:val="tx1"/>
            </w14:solidFill>
          </w14:textFill>
        </w:rPr>
        <w:t>注：一个项目同时参加国家卫生健康委临床检验中心和省级临床检验中心室间质评只能计数1个项目。</w:t>
      </w:r>
    </w:p>
    <w:p w14:paraId="2CB67517">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p>
    <w:p w14:paraId="70B51DE0">
      <w:pPr>
        <w:adjustRightInd w:val="0"/>
        <w:snapToGrid w:val="0"/>
        <w:spacing w:line="400" w:lineRule="exact"/>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w:t>
      </w:r>
      <w:r>
        <w:rPr>
          <w:rFonts w:ascii="宋体" w:hAnsi="宋体" w:eastAsia="宋体"/>
          <w:b/>
          <w:color w:val="000000" w:themeColor="text1"/>
          <w:sz w:val="24"/>
          <w:szCs w:val="24"/>
          <w14:textFill>
            <w14:solidFill>
              <w14:schemeClr w14:val="tx1"/>
            </w14:solidFill>
          </w14:textFill>
        </w:rPr>
        <w:t>.</w:t>
      </w:r>
      <w:r>
        <w:rPr>
          <w:rFonts w:hint="eastAsia" w:ascii="宋体" w:hAnsi="宋体" w:eastAsia="宋体"/>
          <w:b/>
          <w:color w:val="000000" w:themeColor="text1"/>
          <w:sz w:val="24"/>
          <w:szCs w:val="24"/>
          <w14:textFill>
            <w14:solidFill>
              <w14:schemeClr w14:val="tx1"/>
            </w14:solidFill>
          </w14:textFill>
        </w:rPr>
        <w:t xml:space="preserve"> 室间质评项目不合格率</w:t>
      </w:r>
    </w:p>
    <w:p w14:paraId="06A6392F">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室间质评不合格的检验项目数占同期参加室间质评检验项目总数的比例。</w:t>
      </w:r>
    </w:p>
    <w:p w14:paraId="1786D878">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pict>
          <v:shape id="_x0000_s1028" o:spid="_x0000_s1028" o:spt="75" type="#_x0000_t75" style="position:absolute;left:0pt;margin-left:23.1pt;margin-top:5.8pt;height:32.55pt;width:342.7pt;z-index:251664384;mso-width-relative:page;mso-height-relative:page;" filled="f" o:preferrelative="t" stroked="f" coordsize="21600,21600">
            <v:path/>
            <v:fill on="f" focussize="0,0"/>
            <v:stroke on="f" joinstyle="miter"/>
            <v:imagedata r:id="rId7" o:title=""/>
            <o:lock v:ext="edit" aspectratio="t"/>
          </v:shape>
        </w:pict>
      </w:r>
    </w:p>
    <w:p w14:paraId="5618C827">
      <w:pPr>
        <w:adjustRightInd w:val="0"/>
        <w:snapToGrid w:val="0"/>
        <w:spacing w:line="400" w:lineRule="exact"/>
        <w:rPr>
          <w:rFonts w:ascii="宋体" w:hAnsi="宋体" w:eastAsia="宋体"/>
          <w:b/>
          <w:bCs/>
          <w:color w:val="000000" w:themeColor="text1"/>
          <w:kern w:val="0"/>
          <w:sz w:val="24"/>
          <w:szCs w:val="24"/>
          <w14:textFill>
            <w14:solidFill>
              <w14:schemeClr w14:val="tx1"/>
            </w14:solidFill>
          </w14:textFill>
        </w:rPr>
      </w:pPr>
    </w:p>
    <w:p w14:paraId="2C80B85C">
      <w:pPr>
        <w:adjustRightInd w:val="0"/>
        <w:snapToGrid w:val="0"/>
        <w:spacing w:line="276" w:lineRule="auto"/>
        <w:ind w:firstLine="480" w:firstLineChars="200"/>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注：一个项目同时参加国家级和省级临床检验中心室间质评：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2421"/>
        <w:gridCol w:w="1842"/>
        <w:gridCol w:w="1276"/>
      </w:tblGrid>
      <w:tr w14:paraId="74D7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14:paraId="007B0579">
            <w:pPr>
              <w:adjustRightInd w:val="0"/>
              <w:snapToGrid w:val="0"/>
              <w:jc w:val="center"/>
              <w:rPr>
                <w:rFonts w:ascii="宋体" w:hAnsi="宋体" w:eastAsia="宋体"/>
                <w:bCs/>
                <w:color w:val="000000" w:themeColor="text1"/>
                <w:kern w:val="0"/>
                <w:sz w:val="24"/>
                <w:szCs w:val="24"/>
                <w14:textFill>
                  <w14:solidFill>
                    <w14:schemeClr w14:val="tx1"/>
                  </w14:solidFill>
                </w14:textFill>
              </w:rPr>
            </w:pPr>
          </w:p>
        </w:tc>
        <w:tc>
          <w:tcPr>
            <w:tcW w:w="2421" w:type="dxa"/>
            <w:vAlign w:val="center"/>
          </w:tcPr>
          <w:p w14:paraId="54508D66">
            <w:pPr>
              <w:adjustRightInd w:val="0"/>
              <w:snapToGrid w:val="0"/>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国家卫生健康委临床检验中心室间质评</w:t>
            </w:r>
          </w:p>
        </w:tc>
        <w:tc>
          <w:tcPr>
            <w:tcW w:w="1842" w:type="dxa"/>
            <w:vAlign w:val="center"/>
          </w:tcPr>
          <w:p w14:paraId="3ED1DB93">
            <w:pPr>
              <w:adjustRightInd w:val="0"/>
              <w:snapToGrid w:val="0"/>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省级临检中心室间质评</w:t>
            </w:r>
          </w:p>
        </w:tc>
        <w:tc>
          <w:tcPr>
            <w:tcW w:w="1276" w:type="dxa"/>
            <w:vAlign w:val="center"/>
          </w:tcPr>
          <w:p w14:paraId="46EA6876">
            <w:pPr>
              <w:adjustRightInd w:val="0"/>
              <w:snapToGrid w:val="0"/>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室间质评检验项目</w:t>
            </w:r>
          </w:p>
        </w:tc>
      </w:tr>
      <w:tr w14:paraId="1154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restart"/>
            <w:vAlign w:val="center"/>
          </w:tcPr>
          <w:p w14:paraId="2A9C5B97">
            <w:pPr>
              <w:adjustRightInd w:val="0"/>
              <w:snapToGrid w:val="0"/>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质评成绩</w:t>
            </w:r>
          </w:p>
        </w:tc>
        <w:tc>
          <w:tcPr>
            <w:tcW w:w="2421" w:type="dxa"/>
            <w:vAlign w:val="center"/>
          </w:tcPr>
          <w:p w14:paraId="331BCFB5">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合格</w:t>
            </w:r>
          </w:p>
        </w:tc>
        <w:tc>
          <w:tcPr>
            <w:tcW w:w="1842" w:type="dxa"/>
            <w:vAlign w:val="center"/>
          </w:tcPr>
          <w:p w14:paraId="5C2F6D0B">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合格</w:t>
            </w:r>
          </w:p>
        </w:tc>
        <w:tc>
          <w:tcPr>
            <w:tcW w:w="1276" w:type="dxa"/>
            <w:vAlign w:val="center"/>
          </w:tcPr>
          <w:p w14:paraId="1A7D0241">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合格</w:t>
            </w:r>
          </w:p>
        </w:tc>
      </w:tr>
      <w:tr w14:paraId="48F2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vAlign w:val="center"/>
          </w:tcPr>
          <w:p w14:paraId="44A3C827">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p>
        </w:tc>
        <w:tc>
          <w:tcPr>
            <w:tcW w:w="2421" w:type="dxa"/>
            <w:vAlign w:val="center"/>
          </w:tcPr>
          <w:p w14:paraId="525D9DD4">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合格</w:t>
            </w:r>
          </w:p>
        </w:tc>
        <w:tc>
          <w:tcPr>
            <w:tcW w:w="1842" w:type="dxa"/>
            <w:vAlign w:val="center"/>
          </w:tcPr>
          <w:p w14:paraId="6A65E71A">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不合格</w:t>
            </w:r>
          </w:p>
        </w:tc>
        <w:tc>
          <w:tcPr>
            <w:tcW w:w="1276" w:type="dxa"/>
            <w:vAlign w:val="center"/>
          </w:tcPr>
          <w:p w14:paraId="0EEE87FE">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合格</w:t>
            </w:r>
          </w:p>
        </w:tc>
      </w:tr>
      <w:tr w14:paraId="58BA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vAlign w:val="center"/>
          </w:tcPr>
          <w:p w14:paraId="116C4319">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p>
        </w:tc>
        <w:tc>
          <w:tcPr>
            <w:tcW w:w="2421" w:type="dxa"/>
            <w:vAlign w:val="center"/>
          </w:tcPr>
          <w:p w14:paraId="6210656E">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不合格</w:t>
            </w:r>
          </w:p>
        </w:tc>
        <w:tc>
          <w:tcPr>
            <w:tcW w:w="1842" w:type="dxa"/>
            <w:vAlign w:val="center"/>
          </w:tcPr>
          <w:p w14:paraId="250E148D">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合格</w:t>
            </w:r>
          </w:p>
        </w:tc>
        <w:tc>
          <w:tcPr>
            <w:tcW w:w="1276" w:type="dxa"/>
            <w:vAlign w:val="center"/>
          </w:tcPr>
          <w:p w14:paraId="208D85DB">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合格</w:t>
            </w:r>
          </w:p>
        </w:tc>
      </w:tr>
      <w:tr w14:paraId="72F8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vAlign w:val="center"/>
          </w:tcPr>
          <w:p w14:paraId="58021E64">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p>
        </w:tc>
        <w:tc>
          <w:tcPr>
            <w:tcW w:w="2421" w:type="dxa"/>
            <w:vAlign w:val="center"/>
          </w:tcPr>
          <w:p w14:paraId="02EC85B5">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不合格</w:t>
            </w:r>
          </w:p>
        </w:tc>
        <w:tc>
          <w:tcPr>
            <w:tcW w:w="1842" w:type="dxa"/>
            <w:vAlign w:val="center"/>
          </w:tcPr>
          <w:p w14:paraId="5C78AB67">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不合格</w:t>
            </w:r>
          </w:p>
        </w:tc>
        <w:tc>
          <w:tcPr>
            <w:tcW w:w="1276" w:type="dxa"/>
            <w:vAlign w:val="center"/>
          </w:tcPr>
          <w:p w14:paraId="559DCC14">
            <w:pPr>
              <w:adjustRightInd w:val="0"/>
              <w:snapToGrid w:val="0"/>
              <w:spacing w:line="400" w:lineRule="exact"/>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4"/>
                <w14:textFill>
                  <w14:solidFill>
                    <w14:schemeClr w14:val="tx1"/>
                  </w14:solidFill>
                </w14:textFill>
              </w:rPr>
              <w:t>不合格</w:t>
            </w:r>
          </w:p>
        </w:tc>
      </w:tr>
    </w:tbl>
    <w:p w14:paraId="048D7C5C">
      <w:pPr>
        <w:adjustRightInd w:val="0"/>
        <w:snapToGrid w:val="0"/>
        <w:spacing w:line="400" w:lineRule="exact"/>
        <w:ind w:firstLine="482" w:firstLineChars="200"/>
        <w:rPr>
          <w:rFonts w:ascii="宋体" w:hAnsi="宋体" w:eastAsia="宋体"/>
          <w:b/>
          <w:bCs/>
          <w:color w:val="000000" w:themeColor="text1"/>
          <w:kern w:val="0"/>
          <w:sz w:val="24"/>
          <w:szCs w:val="24"/>
          <w14:textFill>
            <w14:solidFill>
              <w14:schemeClr w14:val="tx1"/>
            </w14:solidFill>
          </w14:textFill>
        </w:rPr>
      </w:pPr>
    </w:p>
    <w:p w14:paraId="0FAC9B26">
      <w:pPr>
        <w:adjustRightInd w:val="0"/>
        <w:snapToGrid w:val="0"/>
        <w:spacing w:line="400" w:lineRule="exact"/>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3</w:t>
      </w:r>
      <w:r>
        <w:rPr>
          <w:rFonts w:ascii="宋体" w:hAnsi="宋体" w:eastAsia="宋体"/>
          <w:b/>
          <w:bCs/>
          <w:color w:val="000000" w:themeColor="text1"/>
          <w:kern w:val="0"/>
          <w:sz w:val="24"/>
          <w:szCs w:val="24"/>
          <w14:textFill>
            <w14:solidFill>
              <w14:schemeClr w14:val="tx1"/>
            </w14:solidFill>
          </w14:textFill>
        </w:rPr>
        <w:t xml:space="preserve">. </w:t>
      </w:r>
      <w:r>
        <w:rPr>
          <w:rFonts w:hint="eastAsia" w:ascii="宋体" w:hAnsi="宋体" w:eastAsia="宋体"/>
          <w:b/>
          <w:sz w:val="24"/>
          <w:szCs w:val="24"/>
        </w:rPr>
        <w:t>国家级</w:t>
      </w:r>
      <w:r>
        <w:rPr>
          <w:rFonts w:hint="eastAsia" w:ascii="宋体" w:hAnsi="宋体" w:eastAsia="宋体"/>
          <w:b/>
          <w:color w:val="000000" w:themeColor="text1"/>
          <w:sz w:val="24"/>
          <w:szCs w:val="24"/>
          <w14:textFill>
            <w14:solidFill>
              <w14:schemeClr w14:val="tx1"/>
            </w14:solidFill>
          </w14:textFill>
        </w:rPr>
        <w:t>室间质评项目参加率</w:t>
      </w:r>
      <w:r>
        <w:rPr>
          <w:rFonts w:hint="eastAsia" w:ascii="宋体" w:hAnsi="宋体" w:eastAsia="宋体"/>
          <w:color w:val="000000" w:themeColor="text1"/>
          <w:sz w:val="24"/>
          <w:szCs w:val="24"/>
          <w14:textFill>
            <w14:solidFill>
              <w14:schemeClr w14:val="tx1"/>
            </w14:solidFill>
          </w14:textFill>
        </w:rPr>
        <w:t>（三级公立医院绩效考核指标）</w:t>
      </w:r>
    </w:p>
    <w:p w14:paraId="160EEC35">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参加</w:t>
      </w:r>
      <w:r>
        <w:rPr>
          <w:rFonts w:hint="eastAsia" w:ascii="宋体" w:hAnsi="宋体" w:eastAsia="宋体"/>
          <w:bCs/>
          <w:color w:val="000000" w:themeColor="text1"/>
          <w:kern w:val="0"/>
          <w:sz w:val="24"/>
          <w:szCs w:val="24"/>
          <w14:textFill>
            <w14:solidFill>
              <w14:schemeClr w14:val="tx1"/>
            </w14:solidFill>
          </w14:textFill>
        </w:rPr>
        <w:t>国家临床检验中心组织的室间质量评价项目数</w:t>
      </w:r>
      <w:r>
        <w:rPr>
          <w:rFonts w:hint="eastAsia" w:ascii="宋体" w:hAnsi="宋体" w:eastAsia="宋体"/>
          <w:color w:val="000000" w:themeColor="text1"/>
          <w:sz w:val="24"/>
          <w:szCs w:val="24"/>
          <w14:textFill>
            <w14:solidFill>
              <w14:schemeClr w14:val="tx1"/>
            </w14:solidFill>
          </w14:textFill>
        </w:rPr>
        <w:t>占同期本实验室已开展且同时国家</w:t>
      </w:r>
      <w:r>
        <w:rPr>
          <w:rFonts w:hint="eastAsia" w:ascii="宋体" w:hAnsi="宋体" w:eastAsia="宋体"/>
          <w:bCs/>
          <w:color w:val="000000" w:themeColor="text1"/>
          <w:kern w:val="0"/>
          <w:sz w:val="24"/>
          <w:szCs w:val="24"/>
          <w14:textFill>
            <w14:solidFill>
              <w14:schemeClr w14:val="tx1"/>
            </w14:solidFill>
          </w14:textFill>
        </w:rPr>
        <w:t>临床检验中心已</w:t>
      </w:r>
      <w:r>
        <w:rPr>
          <w:rFonts w:hint="eastAsia" w:ascii="宋体" w:hAnsi="宋体" w:eastAsia="宋体"/>
          <w:color w:val="000000" w:themeColor="text1"/>
          <w:sz w:val="24"/>
          <w:szCs w:val="24"/>
          <w14:textFill>
            <w14:solidFill>
              <w14:schemeClr w14:val="tx1"/>
            </w14:solidFill>
          </w14:textFill>
        </w:rPr>
        <w:t>组织的室间质评项目总数的比例。</w:t>
      </w:r>
    </w:p>
    <w:p w14:paraId="2AB8A8F6">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pict>
          <v:shape id="_x0000_s1029" o:spid="_x0000_s1029" o:spt="75" type="#_x0000_t75" style="position:absolute;left:0pt;margin-left:-2.1pt;margin-top:4pt;height:24.7pt;width:440.95pt;z-index:251666432;mso-width-relative:page;mso-height-relative:page;" filled="f" o:preferrelative="t" stroked="f" coordsize="21600,21600">
            <v:path/>
            <v:fill on="f" focussize="0,0"/>
            <v:stroke on="f" joinstyle="miter"/>
            <v:imagedata r:id="rId8" o:title=""/>
            <o:lock v:ext="edit" aspectratio="t"/>
          </v:shape>
        </w:pict>
      </w:r>
      <w:r>
        <w:rPr>
          <w:rFonts w:hint="eastAsia" w:ascii="宋体" w:hAnsi="宋体" w:eastAsia="宋体"/>
          <w:b/>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1475105</wp:posOffset>
                </wp:positionH>
                <wp:positionV relativeFrom="paragraph">
                  <wp:posOffset>210185</wp:posOffset>
                </wp:positionV>
                <wp:extent cx="3752850" cy="136525"/>
                <wp:effectExtent l="0" t="0" r="635" b="0"/>
                <wp:wrapNone/>
                <wp:docPr id="10" name="矩形 10"/>
                <wp:cNvGraphicFramePr/>
                <a:graphic xmlns:a="http://schemas.openxmlformats.org/drawingml/2006/main">
                  <a:graphicData uri="http://schemas.microsoft.com/office/word/2010/wordprocessingShape">
                    <wps:wsp>
                      <wps:cNvSpPr/>
                      <wps:spPr>
                        <a:xfrm>
                          <a:off x="0" y="0"/>
                          <a:ext cx="3752603" cy="136566"/>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15pt;margin-top:16.55pt;height:10.75pt;width:295.5pt;z-index:251659264;v-text-anchor:middle;mso-width-relative:page;mso-height-relative:page;" fillcolor="#FFC000" filled="t" stroked="f" coordsize="21600,21600" o:gfxdata="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BkiS/WAAAACQEAAA8AAAAAAAAAAQAgAAAAIgAAAGRycy9kb3ducmV2LnhtbFBLAQIUABQAAAAI&#10;AIdO4kBLIIk8YQIAALYEAAAOAAAAAAAAAAEAIAAAACUBAABkcnMvZTJvRG9jLnhtbFBLBQYAAAAA&#10;BgAGAFkBAAD4BQAAAAA=&#10;">
                <v:fill on="t" focussize="0,0"/>
                <v:stroke on="f" weight="2pt"/>
                <v:imagedata o:title=""/>
                <o:lock v:ext="edit" aspectratio="f"/>
              </v:rect>
            </w:pict>
          </mc:Fallback>
        </mc:AlternateContent>
      </w:r>
    </w:p>
    <w:p w14:paraId="5F079A76">
      <w:pPr>
        <w:adjustRightInd w:val="0"/>
        <w:snapToGrid w:val="0"/>
        <w:spacing w:line="400" w:lineRule="exact"/>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3324860</wp:posOffset>
                </wp:positionH>
                <wp:positionV relativeFrom="paragraph">
                  <wp:posOffset>90805</wp:posOffset>
                </wp:positionV>
                <wp:extent cx="106680" cy="658495"/>
                <wp:effectExtent l="19050" t="0" r="45720" b="46355"/>
                <wp:wrapNone/>
                <wp:docPr id="9" name="下箭头 9"/>
                <wp:cNvGraphicFramePr/>
                <a:graphic xmlns:a="http://schemas.openxmlformats.org/drawingml/2006/main">
                  <a:graphicData uri="http://schemas.microsoft.com/office/word/2010/wordprocessingShape">
                    <wps:wsp>
                      <wps:cNvSpPr/>
                      <wps:spPr>
                        <a:xfrm>
                          <a:off x="0" y="0"/>
                          <a:ext cx="106680" cy="65849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1.8pt;margin-top:7.15pt;height:51.85pt;width:8.4pt;z-index:251667456;v-text-anchor:middle;mso-width-relative:page;mso-height-relative:page;" fillcolor="#FFFFFF [3212]" filled="t" stroked="t" coordsize="21600,21600" o:gfxdata="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Vsz/HYAAAACgEAAA8AAAAAAAAAAQAgAAAAIgAAAGRycy9kb3ducmV2Lnht&#10;bFBLAQIUABQAAAAIAIdO4kBt1xywawIAAOQEAAAOAAAAAAAAAAEAIAAAACcBAABkcnMvZTJvRG9j&#10;LnhtbFBLBQYAAAAABgAGAFkBAAAEBgAAAAA=&#10;" adj="19851,5400">
                <v:fill on="t" focussize="0,0"/>
                <v:stroke weight="1pt" color="#000000 [3213]" joinstyle="round"/>
                <v:imagedata o:title=""/>
                <o:lock v:ext="edit" aspectratio="f"/>
              </v:shape>
            </w:pict>
          </mc:Fallback>
        </mc:AlternateContent>
      </w:r>
    </w:p>
    <w:p w14:paraId="32D393A7">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drawing>
          <wp:anchor distT="0" distB="0" distL="114300" distR="114300" simplePos="0" relativeHeight="251665408" behindDoc="0" locked="0" layoutInCell="1" allowOverlap="1">
            <wp:simplePos x="0" y="0"/>
            <wp:positionH relativeFrom="column">
              <wp:posOffset>2230755</wp:posOffset>
            </wp:positionH>
            <wp:positionV relativeFrom="paragraph">
              <wp:posOffset>96520</wp:posOffset>
            </wp:positionV>
            <wp:extent cx="2282190" cy="1108075"/>
            <wp:effectExtent l="0" t="0" r="381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282190" cy="1108075"/>
                    </a:xfrm>
                    <a:prstGeom prst="rect">
                      <a:avLst/>
                    </a:prstGeom>
                    <a:noFill/>
                    <a:ln>
                      <a:noFill/>
                    </a:ln>
                  </pic:spPr>
                </pic:pic>
              </a:graphicData>
            </a:graphic>
          </wp:anchor>
        </w:drawing>
      </w:r>
    </w:p>
    <w:p w14:paraId="4420F946">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p>
    <w:p w14:paraId="71B2F88C">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p>
    <w:p w14:paraId="38D330DE">
      <w:pPr>
        <w:adjustRightInd w:val="0"/>
        <w:snapToGrid w:val="0"/>
        <w:spacing w:line="400" w:lineRule="exact"/>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4</w:t>
      </w:r>
      <w:r>
        <w:rPr>
          <w:rFonts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sz w:val="24"/>
          <w:szCs w:val="24"/>
        </w:rPr>
        <w:t>国家级</w:t>
      </w:r>
      <w:r>
        <w:rPr>
          <w:rFonts w:hint="eastAsia" w:ascii="宋体" w:hAnsi="宋体" w:eastAsia="宋体"/>
          <w:b/>
          <w:color w:val="000000" w:themeColor="text1"/>
          <w:sz w:val="24"/>
          <w:szCs w:val="24"/>
          <w14:textFill>
            <w14:solidFill>
              <w14:schemeClr w14:val="tx1"/>
            </w14:solidFill>
          </w14:textFill>
        </w:rPr>
        <w:t>室间质评项目不合格率</w:t>
      </w:r>
      <w:r>
        <w:rPr>
          <w:rFonts w:hint="eastAsia" w:ascii="宋体" w:hAnsi="宋体" w:eastAsia="宋体"/>
          <w:color w:val="000000" w:themeColor="text1"/>
          <w:sz w:val="24"/>
          <w:szCs w:val="24"/>
          <w14:textFill>
            <w14:solidFill>
              <w14:schemeClr w14:val="tx1"/>
            </w14:solidFill>
          </w14:textFill>
        </w:rPr>
        <w:t>（三级公立医院绩效考核指标）</w:t>
      </w:r>
    </w:p>
    <w:p w14:paraId="128335DB">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参加</w:t>
      </w:r>
      <w:r>
        <w:rPr>
          <w:rFonts w:hint="eastAsia" w:ascii="宋体" w:hAnsi="宋体" w:eastAsia="宋体"/>
          <w:bCs/>
          <w:color w:val="000000" w:themeColor="text1"/>
          <w:kern w:val="0"/>
          <w:sz w:val="24"/>
          <w:szCs w:val="24"/>
          <w14:textFill>
            <w14:solidFill>
              <w14:schemeClr w14:val="tx1"/>
            </w14:solidFill>
          </w14:textFill>
        </w:rPr>
        <w:t>国家临床检验中心组织的</w:t>
      </w:r>
      <w:r>
        <w:rPr>
          <w:rFonts w:hint="eastAsia" w:ascii="宋体" w:hAnsi="宋体" w:eastAsia="宋体"/>
          <w:color w:val="000000" w:themeColor="text1"/>
          <w:sz w:val="24"/>
          <w:szCs w:val="24"/>
          <w14:textFill>
            <w14:solidFill>
              <w14:schemeClr w14:val="tx1"/>
            </w14:solidFill>
          </w14:textFill>
        </w:rPr>
        <w:t>室间质评成绩不合格的检验项目数占同期参加</w:t>
      </w:r>
      <w:r>
        <w:rPr>
          <w:rFonts w:hint="eastAsia" w:ascii="宋体" w:hAnsi="宋体" w:eastAsia="宋体"/>
          <w:bCs/>
          <w:color w:val="000000" w:themeColor="text1"/>
          <w:kern w:val="0"/>
          <w:sz w:val="24"/>
          <w:szCs w:val="24"/>
          <w14:textFill>
            <w14:solidFill>
              <w14:schemeClr w14:val="tx1"/>
            </w14:solidFill>
          </w14:textFill>
        </w:rPr>
        <w:t>国家临床检验中心组织的</w:t>
      </w:r>
      <w:r>
        <w:rPr>
          <w:rFonts w:hint="eastAsia" w:ascii="宋体" w:hAnsi="宋体" w:eastAsia="宋体"/>
          <w:color w:val="000000" w:themeColor="text1"/>
          <w:sz w:val="24"/>
          <w:szCs w:val="24"/>
          <w14:textFill>
            <w14:solidFill>
              <w14:schemeClr w14:val="tx1"/>
            </w14:solidFill>
          </w14:textFill>
        </w:rPr>
        <w:t>室间质评检验项目总数的比例。</w:t>
      </w:r>
    </w:p>
    <w:p w14:paraId="0F5BBC76">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pict>
          <v:shape id="_x0000_s1030" o:spid="_x0000_s1030" o:spt="75" type="#_x0000_t75" style="position:absolute;left:0pt;margin-left:0.2pt;margin-top:8.35pt;height:26.05pt;width:438.65pt;z-index:251668480;mso-width-relative:page;mso-height-relative:page;" filled="f" o:preferrelative="t" stroked="f" coordsize="21600,21600">
            <v:path/>
            <v:fill on="f" focussize="0,0"/>
            <v:stroke on="f" joinstyle="miter"/>
            <v:imagedata r:id="rId10" o:title=""/>
            <o:lock v:ext="edit" aspectratio="t"/>
          </v:shape>
        </w:pict>
      </w:r>
    </w:p>
    <w:p w14:paraId="01FBC865"/>
    <w:p w14:paraId="389D3B83"/>
    <w:p w14:paraId="45C1C3FA">
      <w:pPr>
        <w:adjustRightInd w:val="0"/>
        <w:snapToGrid w:val="0"/>
        <w:spacing w:line="400" w:lineRule="exact"/>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5</w:t>
      </w:r>
      <w:r>
        <w:rPr>
          <w:rFonts w:ascii="宋体" w:hAnsi="宋体" w:eastAsia="宋体"/>
          <w:b/>
          <w:bCs/>
          <w:color w:val="000000" w:themeColor="text1"/>
          <w:kern w:val="0"/>
          <w:sz w:val="24"/>
          <w:szCs w:val="24"/>
          <w14:textFill>
            <w14:solidFill>
              <w14:schemeClr w14:val="tx1"/>
            </w14:solidFill>
          </w14:textFill>
        </w:rPr>
        <w:t xml:space="preserve">. </w:t>
      </w:r>
      <w:r>
        <w:rPr>
          <w:rFonts w:hint="eastAsia" w:ascii="宋体" w:hAnsi="宋体" w:eastAsia="宋体"/>
          <w:b/>
          <w:sz w:val="24"/>
          <w:szCs w:val="24"/>
        </w:rPr>
        <w:t>省级</w:t>
      </w:r>
      <w:r>
        <w:rPr>
          <w:rFonts w:hint="eastAsia" w:ascii="宋体" w:hAnsi="宋体" w:eastAsia="宋体"/>
          <w:b/>
          <w:color w:val="000000" w:themeColor="text1"/>
          <w:sz w:val="24"/>
          <w:szCs w:val="24"/>
          <w14:textFill>
            <w14:solidFill>
              <w14:schemeClr w14:val="tx1"/>
            </w14:solidFill>
          </w14:textFill>
        </w:rPr>
        <w:t>室间质评项目参加率</w:t>
      </w:r>
      <w:r>
        <w:rPr>
          <w:rFonts w:hint="eastAsia" w:ascii="宋体" w:hAnsi="宋体" w:eastAsia="宋体"/>
          <w:color w:val="000000" w:themeColor="text1"/>
          <w:sz w:val="24"/>
          <w:szCs w:val="24"/>
          <w14:textFill>
            <w14:solidFill>
              <w14:schemeClr w14:val="tx1"/>
            </w14:solidFill>
          </w14:textFill>
        </w:rPr>
        <w:t>（二级公立医院绩效考核指标）</w:t>
      </w:r>
    </w:p>
    <w:p w14:paraId="04E0803A">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参加</w:t>
      </w:r>
      <w:r>
        <w:rPr>
          <w:rFonts w:hint="eastAsia" w:ascii="宋体" w:hAnsi="宋体" w:eastAsia="宋体"/>
          <w:bCs/>
          <w:color w:val="000000" w:themeColor="text1"/>
          <w:kern w:val="0"/>
          <w:sz w:val="24"/>
          <w:szCs w:val="24"/>
          <w14:textFill>
            <w14:solidFill>
              <w14:schemeClr w14:val="tx1"/>
            </w14:solidFill>
          </w14:textFill>
        </w:rPr>
        <w:t>本省临床检验中心组织的室间质量评价项目数</w:t>
      </w:r>
      <w:r>
        <w:rPr>
          <w:rFonts w:hint="eastAsia" w:ascii="宋体" w:hAnsi="宋体" w:eastAsia="宋体"/>
          <w:color w:val="000000" w:themeColor="text1"/>
          <w:sz w:val="24"/>
          <w:szCs w:val="24"/>
          <w14:textFill>
            <w14:solidFill>
              <w14:schemeClr w14:val="tx1"/>
            </w14:solidFill>
          </w14:textFill>
        </w:rPr>
        <w:t>占同期本实验室已开展且同时本省</w:t>
      </w:r>
      <w:r>
        <w:rPr>
          <w:rFonts w:hint="eastAsia" w:ascii="宋体" w:hAnsi="宋体" w:eastAsia="宋体"/>
          <w:bCs/>
          <w:color w:val="000000" w:themeColor="text1"/>
          <w:kern w:val="0"/>
          <w:sz w:val="24"/>
          <w:szCs w:val="24"/>
          <w14:textFill>
            <w14:solidFill>
              <w14:schemeClr w14:val="tx1"/>
            </w14:solidFill>
          </w14:textFill>
        </w:rPr>
        <w:t>临床检验中心已</w:t>
      </w:r>
      <w:r>
        <w:rPr>
          <w:rFonts w:hint="eastAsia" w:ascii="宋体" w:hAnsi="宋体" w:eastAsia="宋体"/>
          <w:color w:val="000000" w:themeColor="text1"/>
          <w:sz w:val="24"/>
          <w:szCs w:val="24"/>
          <w14:textFill>
            <w14:solidFill>
              <w14:schemeClr w14:val="tx1"/>
            </w14:solidFill>
          </w14:textFill>
        </w:rPr>
        <w:t>组织的室间质评项目总数的比例。</w:t>
      </w:r>
    </w:p>
    <w:p w14:paraId="19B9A8FC">
      <w:pPr>
        <w:adjustRightInd w:val="0"/>
        <w:snapToGrid w:val="0"/>
        <w:spacing w:line="360" w:lineRule="auto"/>
        <w:jc w:val="left"/>
        <w:rPr>
          <w:rFonts w:asciiTheme="minorEastAsia" w:hAnsiTheme="minorEastAsia"/>
          <w:color w:val="000000" w:themeColor="text1"/>
          <w:sz w:val="18"/>
          <w:szCs w:val="18"/>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3324860</wp:posOffset>
                </wp:positionH>
                <wp:positionV relativeFrom="paragraph">
                  <wp:posOffset>319405</wp:posOffset>
                </wp:positionV>
                <wp:extent cx="106680" cy="658495"/>
                <wp:effectExtent l="19050" t="0" r="45720" b="46355"/>
                <wp:wrapNone/>
                <wp:docPr id="2" name="下箭头 2"/>
                <wp:cNvGraphicFramePr/>
                <a:graphic xmlns:a="http://schemas.openxmlformats.org/drawingml/2006/main">
                  <a:graphicData uri="http://schemas.microsoft.com/office/word/2010/wordprocessingShape">
                    <wps:wsp>
                      <wps:cNvSpPr/>
                      <wps:spPr>
                        <a:xfrm>
                          <a:off x="0" y="0"/>
                          <a:ext cx="106680" cy="65849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1.8pt;margin-top:25.15pt;height:51.85pt;width:8.4pt;z-index:251670528;v-text-anchor:middle;mso-width-relative:page;mso-height-relative:page;" fillcolor="#FFFFFF [3212]" filled="t" stroked="t" coordsize="21600,21600" o:gfxdata="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4DlitcAAAAKAQAADwAAAAAAAAABACAAAAAiAAAAZHJzL2Rvd25yZXYueG1s&#10;UEsBAhQAFAAAAAgAh07iQDI7sO1rAgAA5AQAAA4AAAAAAAAAAQAgAAAAJgEAAGRycy9lMm9Eb2Mu&#10;eG1sUEsFBgAAAAAGAAYAWQEAAAMGAAAAAA==&#10;" adj="19851,5400">
                <v:fill on="t" focussize="0,0"/>
                <v:stroke weight="1pt" color="#000000 [3213]" joinstyle="round"/>
                <v:imagedata o:title=""/>
                <o:lock v:ext="edit" aspectratio="f"/>
              </v:shape>
            </w:pict>
          </mc:Fallback>
        </mc:AlternateContent>
      </w:r>
      <w:r>
        <w:rPr>
          <w:rFonts w:hint="eastAsia" w:ascii="Times New Roman" w:hAnsi="Times New Roman" w:eastAsia="宋体" w:cs="Times New Roman"/>
          <w:color w:val="000000" w:themeColor="text1"/>
          <w:sz w:val="18"/>
          <w:szCs w:val="21"/>
          <w14:textFill>
            <w14:solidFill>
              <w14:schemeClr w14:val="tx1"/>
            </w14:solidFill>
          </w14:textFill>
        </w:rPr>
        <w:t>省级室间质评项目参加率</w:t>
      </w:r>
      <w:r>
        <w:rPr>
          <w:rFonts w:asciiTheme="minorEastAsia" w:hAnsiTheme="minorEastAsia"/>
          <w:color w:val="000000" w:themeColor="text1"/>
          <w:sz w:val="24"/>
          <w:szCs w:val="24"/>
          <w14:textFill>
            <w14:solidFill>
              <w14:schemeClr w14:val="tx1"/>
            </w14:solidFill>
          </w14:textFill>
        </w:rPr>
        <w:t>=</w:t>
      </w:r>
      <m:oMath>
        <m:f>
          <m:fPr>
            <m:ctrlPr>
              <w:rPr>
                <w:rFonts w:ascii="Cambria Math" w:hAnsi="Cambria Math"/>
                <w:color w:val="000000" w:themeColor="text1"/>
                <w:sz w:val="24"/>
                <w:szCs w:val="24"/>
                <w14:textFill>
                  <w14:solidFill>
                    <w14:schemeClr w14:val="tx1"/>
                  </w14:solidFill>
                </w14:textFill>
              </w:rPr>
            </m:ctrlPr>
          </m:fPr>
          <m:num>
            <m:r>
              <m:rPr>
                <m:sty m:val="p"/>
              </m:rPr>
              <w:rPr>
                <w:rFonts w:ascii="Cambria Math" w:hAnsi="Cambria Math"/>
                <w:color w:val="000000" w:themeColor="text1"/>
                <w:sz w:val="24"/>
                <w:szCs w:val="24"/>
                <w14:textFill>
                  <w14:solidFill>
                    <w14:schemeClr w14:val="tx1"/>
                  </w14:solidFill>
                </w14:textFill>
              </w:rPr>
              <m:t>参加本省临床检验中心组织的室间质评的检验项目数</m:t>
            </m:r>
            <m:ctrlPr>
              <w:rPr>
                <w:rFonts w:ascii="Cambria Math" w:hAnsi="Cambria Math"/>
                <w:color w:val="000000" w:themeColor="text1"/>
                <w:sz w:val="24"/>
                <w:szCs w:val="24"/>
                <w14:textFill>
                  <w14:solidFill>
                    <w14:schemeClr w14:val="tx1"/>
                  </w14:solidFill>
                </w14:textFill>
              </w:rPr>
            </m:ctrlPr>
          </m:num>
          <m:den>
            <m:r>
              <m:rPr>
                <m:sty m:val="p"/>
              </m:rPr>
              <w:rPr>
                <w:rFonts w:ascii="Cambria Math" w:hAnsi="Cambria Math"/>
                <w:color w:val="000000" w:themeColor="text1"/>
                <w:sz w:val="24"/>
                <w:szCs w:val="24"/>
                <w:highlight w:val="yellow"/>
                <w14:textFill>
                  <w14:solidFill>
                    <w14:schemeClr w14:val="tx1"/>
                  </w14:solidFill>
                </w14:textFill>
              </w:rPr>
              <m:t>同期实验室已开展</m:t>
            </m:r>
            <m:r>
              <m:rPr>
                <m:sty m:val="p"/>
              </m:rPr>
              <w:rPr>
                <w:rFonts w:hint="eastAsia" w:ascii="Cambria Math" w:hAnsi="Cambria Math"/>
                <w:color w:val="000000" w:themeColor="text1"/>
                <w:sz w:val="24"/>
                <w:szCs w:val="24"/>
                <w:highlight w:val="yellow"/>
                <w14:textFill>
                  <w14:solidFill>
                    <w14:schemeClr w14:val="tx1"/>
                  </w14:solidFill>
                </w14:textFill>
              </w:rPr>
              <m:t>且同时</m:t>
            </m:r>
            <m:r>
              <m:rPr>
                <m:sty m:val="p"/>
              </m:rPr>
              <w:rPr>
                <w:rFonts w:ascii="Cambria Math" w:hAnsi="Cambria Math"/>
                <w:color w:val="000000" w:themeColor="text1"/>
                <w:sz w:val="24"/>
                <w:szCs w:val="24"/>
                <w:highlight w:val="yellow"/>
                <w14:textFill>
                  <w14:solidFill>
                    <w14:schemeClr w14:val="tx1"/>
                  </w14:solidFill>
                </w14:textFill>
              </w:rPr>
              <m:t>本省临床检验中心</m:t>
            </m:r>
            <m:r>
              <m:rPr>
                <m:sty m:val="p"/>
              </m:rPr>
              <w:rPr>
                <w:rFonts w:hint="eastAsia" w:ascii="Cambria Math" w:hAnsi="Cambria Math"/>
                <w:color w:val="000000" w:themeColor="text1"/>
                <w:sz w:val="24"/>
                <w:szCs w:val="24"/>
                <w:highlight w:val="yellow"/>
                <w14:textFill>
                  <w14:solidFill>
                    <w14:schemeClr w14:val="tx1"/>
                  </w14:solidFill>
                </w14:textFill>
              </w:rPr>
              <m:t>已</m:t>
            </m:r>
            <m:r>
              <m:rPr>
                <m:sty m:val="p"/>
              </m:rPr>
              <w:rPr>
                <w:rFonts w:ascii="Cambria Math" w:hAnsi="Cambria Math"/>
                <w:color w:val="000000" w:themeColor="text1"/>
                <w:sz w:val="24"/>
                <w:szCs w:val="24"/>
                <w:highlight w:val="yellow"/>
                <w14:textFill>
                  <w14:solidFill>
                    <w14:schemeClr w14:val="tx1"/>
                  </w14:solidFill>
                </w14:textFill>
              </w:rPr>
              <m:t>组织的室间质评检验项目总数</m:t>
            </m:r>
            <m:ctrlPr>
              <w:rPr>
                <w:rFonts w:ascii="Cambria Math" w:hAnsi="Cambria Math"/>
                <w:color w:val="000000" w:themeColor="text1"/>
                <w:sz w:val="24"/>
                <w:szCs w:val="24"/>
                <w14:textFill>
                  <w14:solidFill>
                    <w14:schemeClr w14:val="tx1"/>
                  </w14:solidFill>
                </w14:textFill>
              </w:rPr>
            </m:ctrlPr>
          </m:den>
        </m:f>
      </m:oMath>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100%</w:t>
      </w:r>
    </w:p>
    <w:p w14:paraId="0B35547F">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drawing>
          <wp:anchor distT="0" distB="0" distL="114300" distR="114300" simplePos="0" relativeHeight="251669504" behindDoc="0" locked="0" layoutInCell="1" allowOverlap="1">
            <wp:simplePos x="0" y="0"/>
            <wp:positionH relativeFrom="column">
              <wp:posOffset>2230755</wp:posOffset>
            </wp:positionH>
            <wp:positionV relativeFrom="paragraph">
              <wp:posOffset>96520</wp:posOffset>
            </wp:positionV>
            <wp:extent cx="2282190" cy="1108075"/>
            <wp:effectExtent l="0" t="0" r="381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282190" cy="1108075"/>
                    </a:xfrm>
                    <a:prstGeom prst="rect">
                      <a:avLst/>
                    </a:prstGeom>
                    <a:noFill/>
                    <a:ln>
                      <a:noFill/>
                    </a:ln>
                  </pic:spPr>
                </pic:pic>
              </a:graphicData>
            </a:graphic>
          </wp:anchor>
        </w:drawing>
      </w:r>
    </w:p>
    <w:p w14:paraId="0A7ED212">
      <w:pPr>
        <w:adjustRightInd w:val="0"/>
        <w:snapToGrid w:val="0"/>
        <w:spacing w:line="400" w:lineRule="exact"/>
        <w:ind w:firstLine="480" w:firstLineChars="200"/>
        <w:rPr>
          <w:rFonts w:ascii="宋体" w:hAnsi="宋体" w:eastAsia="宋体"/>
          <w:color w:val="FFC000"/>
          <w:sz w:val="24"/>
          <w:szCs w:val="24"/>
        </w:rPr>
      </w:pPr>
    </w:p>
    <w:p w14:paraId="644C6E9E">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p>
    <w:p w14:paraId="20851BDB">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p>
    <w:p w14:paraId="141B1A11">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p>
    <w:p w14:paraId="7E6F2CA4">
      <w:pPr>
        <w:adjustRightInd w:val="0"/>
        <w:snapToGrid w:val="0"/>
        <w:spacing w:line="400" w:lineRule="exact"/>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6</w:t>
      </w:r>
      <w:r>
        <w:rPr>
          <w:rFonts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sz w:val="24"/>
          <w:szCs w:val="24"/>
        </w:rPr>
        <w:t>省级</w:t>
      </w:r>
      <w:r>
        <w:rPr>
          <w:rFonts w:hint="eastAsia" w:ascii="宋体" w:hAnsi="宋体" w:eastAsia="宋体"/>
          <w:b/>
          <w:color w:val="000000" w:themeColor="text1"/>
          <w:sz w:val="24"/>
          <w:szCs w:val="24"/>
          <w14:textFill>
            <w14:solidFill>
              <w14:schemeClr w14:val="tx1"/>
            </w14:solidFill>
          </w14:textFill>
        </w:rPr>
        <w:t>室间质评项目不合格率</w:t>
      </w:r>
      <w:r>
        <w:rPr>
          <w:rFonts w:hint="eastAsia" w:ascii="宋体" w:hAnsi="宋体" w:eastAsia="宋体"/>
          <w:color w:val="000000" w:themeColor="text1"/>
          <w:sz w:val="24"/>
          <w:szCs w:val="24"/>
          <w14:textFill>
            <w14:solidFill>
              <w14:schemeClr w14:val="tx1"/>
            </w14:solidFill>
          </w14:textFill>
        </w:rPr>
        <w:t>（二级公立医院绩效考核指标）</w:t>
      </w:r>
    </w:p>
    <w:p w14:paraId="59AB3AAE">
      <w:pPr>
        <w:adjustRightInd w:val="0"/>
        <w:snapToGrid w:val="0"/>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参加</w:t>
      </w:r>
      <w:r>
        <w:rPr>
          <w:rFonts w:hint="eastAsia" w:ascii="宋体" w:hAnsi="宋体" w:eastAsia="宋体"/>
          <w:bCs/>
          <w:color w:val="000000" w:themeColor="text1"/>
          <w:kern w:val="0"/>
          <w:sz w:val="24"/>
          <w:szCs w:val="24"/>
          <w14:textFill>
            <w14:solidFill>
              <w14:schemeClr w14:val="tx1"/>
            </w14:solidFill>
          </w14:textFill>
        </w:rPr>
        <w:t>本省临床检验中心组织的</w:t>
      </w:r>
      <w:r>
        <w:rPr>
          <w:rFonts w:hint="eastAsia" w:ascii="宋体" w:hAnsi="宋体" w:eastAsia="宋体"/>
          <w:color w:val="000000" w:themeColor="text1"/>
          <w:sz w:val="24"/>
          <w:szCs w:val="24"/>
          <w14:textFill>
            <w14:solidFill>
              <w14:schemeClr w14:val="tx1"/>
            </w14:solidFill>
          </w14:textFill>
        </w:rPr>
        <w:t>室间质评成绩不合格的检验项目数占同期参加</w:t>
      </w:r>
      <w:r>
        <w:rPr>
          <w:rFonts w:hint="eastAsia" w:ascii="宋体" w:hAnsi="宋体" w:eastAsia="宋体"/>
          <w:bCs/>
          <w:color w:val="000000" w:themeColor="text1"/>
          <w:kern w:val="0"/>
          <w:sz w:val="24"/>
          <w:szCs w:val="24"/>
          <w14:textFill>
            <w14:solidFill>
              <w14:schemeClr w14:val="tx1"/>
            </w14:solidFill>
          </w14:textFill>
        </w:rPr>
        <w:t>本省临床检验中心组织的</w:t>
      </w:r>
      <w:r>
        <w:rPr>
          <w:rFonts w:hint="eastAsia" w:ascii="宋体" w:hAnsi="宋体" w:eastAsia="宋体"/>
          <w:color w:val="000000" w:themeColor="text1"/>
          <w:sz w:val="24"/>
          <w:szCs w:val="24"/>
          <w14:textFill>
            <w14:solidFill>
              <w14:schemeClr w14:val="tx1"/>
            </w14:solidFill>
          </w14:textFill>
        </w:rPr>
        <w:t>室间质评检验项目总数的比例。</w:t>
      </w:r>
    </w:p>
    <w:p w14:paraId="3B897675">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18"/>
          <w:szCs w:val="21"/>
          <w14:textFill>
            <w14:solidFill>
              <w14:schemeClr w14:val="tx1"/>
            </w14:solidFill>
          </w14:textFill>
        </w:rPr>
        <w:t>省级</w:t>
      </w:r>
      <w:r>
        <w:rPr>
          <w:rFonts w:ascii="Times New Roman" w:hAnsi="Times New Roman" w:eastAsia="宋体" w:cs="Times New Roman"/>
          <w:color w:val="000000" w:themeColor="text1"/>
          <w:sz w:val="18"/>
          <w:szCs w:val="21"/>
          <w14:textFill>
            <w14:solidFill>
              <w14:schemeClr w14:val="tx1"/>
            </w14:solidFill>
          </w14:textFill>
        </w:rPr>
        <w:t>室间质评项目不合格率</w:t>
      </w:r>
      <w:r>
        <w:rPr>
          <w:rFonts w:ascii="Times New Roman" w:hAnsi="Times New Roman" w:eastAsia="宋体" w:cs="Times New Roman"/>
          <w:color w:val="000000" w:themeColor="text1"/>
          <w:sz w:val="24"/>
          <w:szCs w:val="24"/>
          <w14:textFill>
            <w14:solidFill>
              <w14:schemeClr w14:val="tx1"/>
            </w14:solidFill>
          </w14:textFill>
        </w:rPr>
        <w:t xml:space="preserve">= </w:t>
      </w:r>
      <m:oMath>
        <m:f>
          <m:fPr>
            <m:ctrlPr>
              <w:rPr>
                <w:rFonts w:ascii="Cambria Math" w:hAnsi="Cambria Math" w:eastAsia="宋体" w:cs="Times New Roman"/>
                <w:color w:val="000000" w:themeColor="text1"/>
                <w:sz w:val="24"/>
                <w:szCs w:val="24"/>
                <w14:textFill>
                  <w14:solidFill>
                    <w14:schemeClr w14:val="tx1"/>
                  </w14:solidFill>
                </w14:textFill>
              </w:rPr>
            </m:ctrlPr>
          </m:fPr>
          <m:num>
            <m:r>
              <m:rPr>
                <m:sty m:val="p"/>
              </m:rPr>
              <w:rPr>
                <w:rFonts w:ascii="Cambria Math" w:hAnsi="Cambria Math" w:eastAsia="宋体" w:cs="Times New Roman"/>
                <w:color w:val="000000" w:themeColor="text1"/>
                <w:sz w:val="24"/>
                <w:szCs w:val="24"/>
                <w14:textFill>
                  <w14:solidFill>
                    <w14:schemeClr w14:val="tx1"/>
                  </w14:solidFill>
                </w14:textFill>
              </w:rPr>
              <m:t>参加</m:t>
            </m:r>
            <m:r>
              <m:rPr>
                <m:sty m:val="p"/>
              </m:rPr>
              <w:rPr>
                <w:rFonts w:ascii="Cambria Math" w:hAnsi="Cambria Math" w:eastAsia="宋体" w:cs="Times New Roman"/>
                <w:color w:val="000000" w:themeColor="text1"/>
                <w:kern w:val="0"/>
                <w:sz w:val="24"/>
                <w:szCs w:val="24"/>
                <w14:textFill>
                  <w14:solidFill>
                    <w14:schemeClr w14:val="tx1"/>
                  </w14:solidFill>
                </w14:textFill>
              </w:rPr>
              <m:t>本省临床检验中心组织</m:t>
            </m:r>
            <m:r>
              <m:rPr>
                <m:sty m:val="p"/>
              </m:rPr>
              <w:rPr>
                <w:rFonts w:ascii="Cambria Math" w:hAnsi="Cambria Math" w:eastAsia="宋体" w:cs="Times New Roman"/>
                <w:color w:val="000000" w:themeColor="text1"/>
                <w:sz w:val="24"/>
                <w:szCs w:val="24"/>
                <w14:textFill>
                  <w14:solidFill>
                    <w14:schemeClr w14:val="tx1"/>
                  </w14:solidFill>
                </w14:textFill>
              </w:rPr>
              <m:t>室间质评成绩不合格的检验项目数</m:t>
            </m:r>
            <m:ctrlPr>
              <w:rPr>
                <w:rFonts w:ascii="Cambria Math" w:hAnsi="Cambria Math" w:eastAsia="宋体" w:cs="Times New Roman"/>
                <w:color w:val="000000" w:themeColor="text1"/>
                <w:sz w:val="24"/>
                <w:szCs w:val="24"/>
                <w14:textFill>
                  <w14:solidFill>
                    <w14:schemeClr w14:val="tx1"/>
                  </w14:solidFill>
                </w14:textFill>
              </w:rPr>
            </m:ctrlPr>
          </m:num>
          <m:den>
            <m:r>
              <m:rPr>
                <m:sty m:val="p"/>
              </m:rPr>
              <w:rPr>
                <w:rFonts w:ascii="Cambria Math" w:hAnsi="Cambria Math" w:eastAsia="宋体" w:cs="Times New Roman"/>
                <w:color w:val="000000" w:themeColor="text1"/>
                <w:sz w:val="24"/>
                <w:szCs w:val="24"/>
                <w14:textFill>
                  <w14:solidFill>
                    <w14:schemeClr w14:val="tx1"/>
                  </w14:solidFill>
                </w14:textFill>
              </w:rPr>
              <m:t>同期参加</m:t>
            </m:r>
            <m:r>
              <m:rPr>
                <m:sty m:val="p"/>
              </m:rPr>
              <w:rPr>
                <w:rFonts w:ascii="Cambria Math" w:hAnsi="Cambria Math" w:eastAsia="宋体" w:cs="Times New Roman"/>
                <w:color w:val="000000" w:themeColor="text1"/>
                <w:kern w:val="0"/>
                <w:sz w:val="24"/>
                <w:szCs w:val="24"/>
                <w14:textFill>
                  <w14:solidFill>
                    <w14:schemeClr w14:val="tx1"/>
                  </w14:solidFill>
                </w14:textFill>
              </w:rPr>
              <m:t>本省临床检验中心组织的</m:t>
            </m:r>
            <m:r>
              <m:rPr>
                <m:sty m:val="p"/>
              </m:rPr>
              <w:rPr>
                <w:rFonts w:ascii="Cambria Math" w:hAnsi="Cambria Math" w:eastAsia="宋体" w:cs="Times New Roman"/>
                <w:color w:val="000000" w:themeColor="text1"/>
                <w:sz w:val="24"/>
                <w:szCs w:val="24"/>
                <w14:textFill>
                  <w14:solidFill>
                    <w14:schemeClr w14:val="tx1"/>
                  </w14:solidFill>
                </w14:textFill>
              </w:rPr>
              <m:t>室间质评检验项目总数</m:t>
            </m:r>
            <m:ctrlPr>
              <w:rPr>
                <w:rFonts w:ascii="Cambria Math" w:hAnsi="Cambria Math" w:eastAsia="宋体" w:cs="Times New Roman"/>
                <w:color w:val="000000" w:themeColor="text1"/>
                <w:sz w:val="24"/>
                <w:szCs w:val="24"/>
                <w14:textFill>
                  <w14:solidFill>
                    <w14:schemeClr w14:val="tx1"/>
                  </w14:solidFill>
                </w14:textFill>
              </w:rPr>
            </m:ctrlPr>
          </m:den>
        </m:f>
      </m:oMath>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100%</w:t>
      </w:r>
    </w:p>
    <w:p w14:paraId="628DF2C1">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p>
    <w:p w14:paraId="11FE03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19"/>
    <w:rsid w:val="00012443"/>
    <w:rsid w:val="00121193"/>
    <w:rsid w:val="001358A1"/>
    <w:rsid w:val="001941BD"/>
    <w:rsid w:val="001E7827"/>
    <w:rsid w:val="002A0B84"/>
    <w:rsid w:val="002F5E40"/>
    <w:rsid w:val="003D290A"/>
    <w:rsid w:val="004261F4"/>
    <w:rsid w:val="004E3CB7"/>
    <w:rsid w:val="006F7F37"/>
    <w:rsid w:val="007B7FE5"/>
    <w:rsid w:val="00816CD2"/>
    <w:rsid w:val="00964884"/>
    <w:rsid w:val="009A1079"/>
    <w:rsid w:val="00A07A65"/>
    <w:rsid w:val="00AA0680"/>
    <w:rsid w:val="00AC70AC"/>
    <w:rsid w:val="00BB4068"/>
    <w:rsid w:val="00C25ABF"/>
    <w:rsid w:val="00C760F6"/>
    <w:rsid w:val="00D74180"/>
    <w:rsid w:val="00DA2819"/>
    <w:rsid w:val="1CCC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tif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tiff"/><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tif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728</Words>
  <Characters>741</Characters>
  <Lines>5</Lines>
  <Paragraphs>1</Paragraphs>
  <TotalTime>325</TotalTime>
  <ScaleCrop>false</ScaleCrop>
  <LinksUpToDate>false</LinksUpToDate>
  <CharactersWithSpaces>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2019-03-13T03:13:00Z</dcterms:created>
  <dc:creator>Ln</dc:creator>
  <cp:lastModifiedBy>Jimmy</cp:lastModifiedBy>
  <dcterms:modified xsi:type="dcterms:W3CDTF">2025-03-19T01:48:28Z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eyJoZGlkIjoiMjIyZjczNTQxMGI3N2Y3OTU0ZjRjY2ViNWExZDRjMmYiLCJ1c2VySWQiOiIxMTYwOTkwMjgwIn0=</vt:lpwstr>
  </property>
  <property fmtid="{D5CDD505-2E9C-101B-9397-08002B2CF9AE}" pid="3" name="KSOProductBuildVer">
    <vt:lpwstr>2052-12.1.0.20305</vt:lpwstr>
  </property>
  <property fmtid="{D5CDD505-2E9C-101B-9397-08002B2CF9AE}" pid="4" name="ICV">
    <vt:lpwstr>D715894EA213407793372FE582CB6136_12</vt:lpwstr>
  </property>
</Properties>
</file>