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技术需求：</w:t>
      </w:r>
    </w:p>
    <w:tbl>
      <w:tblPr>
        <w:tblStyle w:val="10"/>
        <w:tblpPr w:leftFromText="180" w:rightFromText="180" w:vertAnchor="text" w:horzAnchor="page" w:tblpXSpec="center" w:tblpY="647"/>
        <w:tblOverlap w:val="never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54"/>
        <w:gridCol w:w="1880"/>
        <w:gridCol w:w="2066"/>
        <w:gridCol w:w="3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54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包1、包布类技术需求如下：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尺寸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双层大包布2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150*150cm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长宽120-150CM范围之内按照大包布单价支付</w:t>
            </w: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面料成分要求（±5%）：40%棉，60%聚酯纤维；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织物密度（±3%)：经向440根/10cm，纬向240根/10cm；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..甲醛含量≤75mg/kg；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.可分解致癌芳香胺染料≤20mg/kg；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色牢度：耐干摩擦色牢度≥4级，耐湿摩擦色牢度≥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，耐水色牢度≥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级，耐酸汗渍色牢度≥4级，耐碱汗渍色牢度≥4级，耐碱皂洗色牢度≥4级，耐唾液色牢度≥4级，耐氯化水色牢度≥4级，酚黄变色牢度样品变色≥3级。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面料抗菌性能：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洗涤后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双层中包布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110*110cm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长宽90-120CM范围之内按照中包布单价支付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80*80cm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长宽0-90CM范围之内按照小包布单价支付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大治疗巾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长宽100-150CM范围之内按照大治疗巾单价支付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中治疗巾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90*60cm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长宽60-90CM范围之内按照中治疗巾单价支付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小治疗巾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60*60cm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长宽0-60CM范围之内按照小治疗巾单价支付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大孔单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长300cm(96cm+孔44cm+150cm)宽：192cm;双层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开口单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长：247cm(150cm+开叉97cm)宽：192cm;双层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240*120cm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大孔巾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190*90单层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长宽100-150CM范围之内按照大孔巾单价支付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中孔巾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100*80单层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长宽60-90CM范围之内按照中孔巾单价支付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小孔巾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60*60单层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长宽0-60CM范围之内按照小孔巾单价支付</w:t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蓝色器械台布双层(三防面料)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180*160cm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1、面料成份：棉35%（±3）、涤65%（±3）。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2、面料抗菌性能：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洗涤后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金黄色葡萄球菌抑菌率≥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%、水洗后大肠杆菌抑菌率≥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%、水洗后白色念珠菌抑菌率≥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3、纱支：28s（±3）*29s（±3），密度：经向密度：525根/10cm（±10根/10cm），纬向密度：284根/10cm（±10根/10cm）。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4、pH值：4.0-8.5。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5、甲醛含量≤75mg/kg。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蓝色体外器械布双层（三防面料）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240*200cm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胸科单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215*225cm;双层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面料成分要求（±5%）：40%棉，60%聚酯纤维；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织物密度（±3%)：经向440根/10cm，纬向240根/10cm；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..甲醛含量≤75mg/kg；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.可分解致癌芳香胺染料≤20mg/kg；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色牢度：耐干摩擦色牢度≥4级，耐湿摩擦色牢度≥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，耐水色牢度≥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，耐酸汗渍色牢度≥4级，耐碱汗渍色牢度≥4级，耐碱皂洗色牢度≥4级，耐唾液色牢度≥4级，耐氯化水色牢度≥4级，酚黄变色牢度样品变色≥3级。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面料抗菌性能：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洗涤后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金黄色葡萄球菌抑菌率≥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%、水洗后大肠杆菌抑菌率≥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%、水洗后白色念珠菌抑菌率≥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%。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污衣袋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99*82*53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腔镜器械套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50*72双层，定制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982980" cy="737235"/>
                  <wp:effectExtent l="0" t="0" r="7620" b="5715"/>
                  <wp:docPr id="1" name="图片 1" descr="24c889094ecfc2c7eb0c6a7686646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c889094ecfc2c7eb0c6a7686646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长约束带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90*15+50*4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20cm*20cm*4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1.100%棉纱布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2.符合18401-2010 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宫腔纱条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500cm*5*4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接生包布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160cm*160cm*2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面料成分要求（±5%）：40%棉，60%聚酯纤维；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织物密度（±3%)：经向440根/10cm，纬向2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40根/10cm；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甲醛含量≤75mg/kg；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可分解致癌芳香胺染料≤20mg/kg；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色牢度：耐干摩擦色牢度≥4级，耐湿摩擦色牢度≥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级，耐水色牢度≥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级，耐酸汗渍色牢度≥4级，耐碱汗渍色牢度≥4级，耐碱皂洗色牢度≥4级，耐唾液色牢度≥4级，耐氯化水色牢度≥4级，酚黄变色牢度样品变色≥3级。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面料抗菌性能：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洗涤后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金黄色葡萄球菌抑菌率≥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%、水洗后大肠杆菌抑菌率≥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%、水洗后白色念珠菌抑菌率≥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%。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接生单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150cm*100cm*2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接生洞巾带裤腿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洞巾部分70cm*130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单独裤腿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裤腿：80cm*100cm*2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足底封口33cm*10cm*2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妇产科孔巾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70cm*55cm*2（孔直径10cm*15cm)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RFID芯片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41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360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包2：服装类技术要求如下：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尺寸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男医生工作服长袖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1、面料：棉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%（±3），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聚酯纤维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>93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%（±3）；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2、PH值：4.0-8.5；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3、甲醛含量≤75mg/kg；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色牢度：耐干摩擦色牢度≥4级，耐湿摩擦色牢度≥4级，耐水色牢度≥4级，耐酸汗渍色牢度≥4级，耐碱汗渍色牢度≥4级，耐碱皂洗色牢度≥4级，耐唾液色牢度≥4级，耐氯化水色牢度≥4级，酚黄变色牢度样品变色≥3级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5、断裂强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力：经向≥1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00N，纬向：≥730N；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6、质量≥210g/㎡；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7、织物密度：经向密度：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650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根/10cm（±10根/10cm），纬向密度：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400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根/10cm（±10根/10cm）；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、水洗尺寸变化率：-3%～+3%；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、面料抗菌性能：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洗涤后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金黄色葡萄球菌抑菌率≥9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%、水洗后大肠杆菌抑菌率≥9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%、水洗后白色念珠菌抑菌率≥9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%；</w:t>
            </w:r>
          </w:p>
          <w:p>
            <w:pPr>
              <w:bidi w:val="0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透气率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mm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s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男医生工作服短袖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女医生工作服长袖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女医生工作服短袖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男护士工作服长袖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1.成分：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%聚酯纤维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Hans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2.起毛起球(级)：4；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4.透气率≥330mm/s；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5.织物透气性变异系数3.1%；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6.水洗尺寸变化率：≤±1%；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7.PH值：4.0-8.5；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8.甲醛含量（mg/kg）：≤75mg/kg；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9.耐水色牢度（级）：≥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10.耐酸汗渍色牢度（级）≥4；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11.耐碱汗渍色牢度（级）：≥4；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12.耐摩擦色牢度（级）：干摩[直向] ≥4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13.质量（g/㎡）:237（±1%）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男护士工作服短袖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女护士工作服长袖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女护士工作服短袖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体检中心导医工作服长袖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体检中心导医工作服短袖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护士毛背心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1.符合标准：GB18401-2010 B 类 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2.面料成分：50%腈纶、50%羊毛（±5%） 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3.克重：≥400g/㎡；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进修医生工作服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1、面料：棉25%（±3），绦75%（±3）；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2、PH值：4.0-8.5；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3、甲醛含量≤75mg/kg；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色牢度：耐干摩擦色牢度≥4级，耐湿摩擦色牢度≥4级，耐水色牢度≥4级，耐酸汗渍色牢度≥4级，耐碱汗渍色牢度≥4级，耐碱皂洗色牢度≥4级，耐唾液色牢度≥4级，耐氯化水色牢度≥4级，酚黄变色牢度样品变色≥3级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5、断裂强力：经向≥1300N，纬向：≥730N；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6、质量≥210g/㎡；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7、织物密度：经向密度：325根/10cm（±10根/10cm），纬向密度：240根/10cm（±10根/10cm）；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8、纱线支数：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经向纱线密度（tex）：34（±3），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纬向纱线密度（tex）：34（±3），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9、水洗尺寸变化率：-3%～+3%；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10、面料抗菌性能：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洗涤后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金黄色葡萄球菌抑菌率≥99%、水洗后大肠杆菌抑菌率≥99%、水洗后白色念珠菌抑菌率≥99%；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特需病房病员服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1.面料要求：100%棉；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2.纱线支数（±3）：经纱45s，纬纱20s；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3.布料密度(±3%）：经向400根/10cm，纬向185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根/10cm；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4.平方克重：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0g/㎡；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5.产品水洗尺寸变化率±2%；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6.面料色牢度：耐水洗、耐酸碱汗渍、耐唾液、耐摩擦、耐皂洗、耐氯化水色牢度均≥3级；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7.不含甲醛不含可分解芳香胺染料；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8.断裂强度经向≥300N,纬向≥170N；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9.产品不起球不起毛，达到≥3级；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10.耐磨性能洗涤100次后不发生破损；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11.顶破强力≥300N；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12.撕破强力：经向≥20N，纬向≥30N。</w:t>
            </w:r>
          </w:p>
          <w:p>
            <w:pPr>
              <w:pStyle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病员服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1.成分含量：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聚酯纤维65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,粘纤35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2.面料抗菌性能：水洗后金黄色葡萄球菌抑菌率≥90%、水洗后大肠杆菌抑菌率≥90%、水洗后白色念珠菌抑菌率≥90%；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3.纱支：16s（±3）*16s（±3），密度：经向密度：355根/10cm（±10根/10cm），纬向密度：240根/10cm（±10根/10cm）；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4.pH值：4.0-8.5；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5.甲醛含量≤75mg/kg；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6.单位面积质量：245g/㎡（±5g/㎡）；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7.断裂强力：经向≥750N，纬向≥560N；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色牢度：耐干摩擦色牢度≥4级，耐湿摩擦色牢度≥4级，耐水色牢度≥4级，耐酸汗渍色牢度≥4级，耐碱汗渍色牢度≥4级，耐皂洗色牢度≥4级，耐唾液色牢度≥4级，耐氯化水色牢度≥4级，酚黄变色牢度样品变色≥4级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9.水洗尺寸变化率-3%～+3%。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手术帽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面料成分要求（±5%）：40%棉，60%聚酯纤维；</w:t>
            </w:r>
          </w:p>
          <w:p>
            <w:pPr>
              <w:numPr>
                <w:numId w:val="0"/>
              </w:num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2、织物密度（±3%)：经向440根/10cm，纬向240根/10cm；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..甲醛含量≤75mg/kg；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.可分解致癌芳香胺染料≤20mg/kg；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色牢度：耐干摩擦色牢度≥4级，耐湿摩擦色牢度≥4级，耐水色牢度≥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，耐酸汗渍色牢度≥4级，耐碱汗渍色牢度≥4级，耐碱皂洗色牢度≥4级，耐唾液色牢度≥4级，耐氯化水色牢度≥4级，酚黄变色牢度样品变色≥3级。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面料抗菌性能：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洗涤后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金黄色葡萄球菌抑菌率≥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%、水洗后大肠杆菌抑菌率≥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%、水洗后白色念珠菌抑菌率≥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%。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巡回衣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洗手衣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洗手裤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各型号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参观衣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均码加大号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后遮式手术衣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均码加大号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541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包3：被服类技术需求如下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尺寸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值班室床单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长度270cm*宽度160cm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1.面料成份：100%棉，印花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格子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面料；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2.纱支：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tex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（±2）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经向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14、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纬向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密度：经向密度：≥495根/10cm，纬向密度：≥270根/10cm 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3.pH值：4.0-8.5；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4.甲醛含量≤75mg/kg；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5.单位面积质量：115g/㎡（±5g/㎡）；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6.断裂强力：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≥220N，纬向≥220N；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7.水洗尺寸变化率-3%～+3%；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制作工艺：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床单：四周裹边。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被套：开口处内超30cm加暗扣3对。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枕套：四周5cm飞边。开口处内超29cm。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值班室被套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值班室枕套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长度78cm*宽度48cm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水洗冬被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150*200cm,3斤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1.面料成份：100%聚酯纤维；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2.面料重量：105g/㎡（±5g/㎡）；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3.填充纤维：100%聚酯纤维；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4.水洗尺寸变化率-3%～+3%；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水洗夏被</w:t>
            </w:r>
          </w:p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150*200cm,2斤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水洗垫絮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195*90cm,2斤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水洗枕芯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50*80cm，填充物：1000g/个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1.纤维含量（±5%）：涤65%,棉  35%；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2.单位面积质量（g/m²）±5%：220；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3.纱线密度（tex）±2：经向：28纬向：28；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4.织物密度（±5%）： 经向：490根/10cm、纬向：270根/10cm；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5.PH值：4.0-8.5；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6.甲醛含量（mg/kg) ≤75；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7.未检出可分解致癌芳香胺染料；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8.异味：无异味；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9.水洗尺寸变化率+2%～-3%；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10.抗沾湿性能≥4级；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填充物：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11.纤维含量：100%聚酯纤维；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12.填充物：总重≥1200g/个；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制作工艺：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面料要求：防水透气新型面料；填充物要求：混合仪征纤维；可全机洗、耐高温洗涤；四周双针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滚边工艺，加斜角标，加生产日期标。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病员床单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长度270cm*宽度160cm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面料成份：80%棉20%涤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2.面料抗菌性能：水洗后金黄色葡萄球菌抑菌率≥90%、水洗后大肠杆菌抑菌率≥90%、水洗后白色念珠菌抑菌率≥90%；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3.纱支：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Hans"/>
              </w:rPr>
              <w:t>tex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（±2）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Hans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Hans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Hans"/>
              </w:rPr>
              <w:t>纬向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Hans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密度：经向密度：≥530根/10cm，纬向密度：≥410根/10cm 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4.pH值：4.0-8.5；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5.甲醛含量≤75mg/kg；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6.单位面积质量：≥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120g/㎡；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7.断裂强力：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≥550N，纬向≥560N；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色牢度：耐干摩擦色牢度≥4级，耐湿摩擦色牢度≥4级，耐水色牢度≥4级，耐酸汗渍色牢度≥4级，耐碱汗渍色牢度≥4级，耐皂洗色牢度≥4级，耐唾液色牢度≥4级，耐氯化水色牢度≥4级，酚黄变色牢度样品变色≥4级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9.水洗尺寸变化率-3%～+3%。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制作工艺：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床单：四周裹边。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被套：开口处内超30cm加暗扣3对。</w:t>
            </w:r>
          </w:p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枕套：四周5cm飞边。开口处内超29cm。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病员被套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病员枕套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长度78cm*宽度48cm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小儿被套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120*120cm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6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1.面料成份：100%棉，印花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格子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面料；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2.纱支：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tex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（±2）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经向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Hans"/>
              </w:rPr>
              <w:t>14、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纬向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Hans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密度：经向密度：≥495根/10cm，纬向密度：≥270根/10cm 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3.pH值：4.0-8.5；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4.甲醛含量≤75mg/kg；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5.单位面积质量：115g/㎡（±5g/㎡）；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6.断裂强力：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≥220N，纬向≥220N；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7.水洗尺寸变化率-3%～+3%；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婴儿棉絮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115*115cm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1.成份含量：100%棉，新疆一级棉胎。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特需病房床单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长度270cm*宽度160cm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面料成份：100%棉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2.面料抗菌性能：水洗后金黄色葡萄球菌抑菌率≥90%、水洗后大肠杆菌抑菌率≥90%、水洗后白色念珠菌抑菌率≥90%；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3.纱支：tex（±2）经向7.3、纬向7.3，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密度（±3%根/10cm）：经向密度：787根/10cm，纬向密度720根/10cm 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4.pH值：4.0-8.5；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5.甲醛含量≤75mg/kg；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6.单位面积质量：≥120g/㎡；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7.断裂强力：经向≥550N，纬向≥560N；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.色牢度：耐干摩擦色牢度≥4级，耐湿摩擦色牢度≥4级，耐水色牢度≥4级，耐酸汗渍色牢度≥4级，耐碱汗渍色牢度≥4级，耐皂洗色牢度≥4级，耐唾液色牢度≥4级，耐氯化水色牢度≥4级，酚黄变色牢度样品变色≥4级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9.水洗尺寸变化率-3%～+3%。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Hans"/>
              </w:rPr>
              <w:t>投标时须携带经国家认可的具有CMA和CNAS资质的第三方检测机构出具的检验报告原价，未提供检测报告，即做废标处理。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制作工艺：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床单：四周裹边。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被套：开口处内超30cm加暗扣3对。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枕套：四周5cm飞边。开口处内超29cm。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特需病房被套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特需病房枕套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长度78cm*宽度48cm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陪伴被套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长度210cm*宽度160cm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tbl>
            <w:tblPr>
              <w:tblStyle w:val="10"/>
              <w:tblpPr w:leftFromText="180" w:rightFromText="180" w:vertAnchor="text" w:horzAnchor="page" w:tblpXSpec="center" w:tblpY="647"/>
              <w:tblOverlap w:val="never"/>
              <w:tblW w:w="954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2" w:hRule="atLeast"/>
                <w:jc w:val="center"/>
              </w:trPr>
              <w:tc>
                <w:tcPr>
                  <w:tcW w:w="3806" w:type="dxa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Autospacing="0" w:after="0" w:afterAutospacing="0" w:line="320" w:lineRule="exact"/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1.面料成份：80%棉20%涤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2.面料抗菌性能：水洗后金黄色葡萄球菌抑菌率≥90%、水洗后大肠杆菌抑菌率≥90%、水洗后白色念珠菌抑菌率≥90%；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3.纱支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：tex（±2）经向14、纬向14，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密度：经向密度：≥530根/10cm，纬向密度：≥410根/10cm ；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4.pH值：4.0-8.5；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5.甲醛含量≤75mg/kg；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6.单位面积质量：≥120g/㎡；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7.断裂强力：经向≥550N，纬向≥560N；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8.色牢度：耐干摩擦色牢度≥4级，耐湿摩擦色牢度≥</w:t>
                  </w:r>
                  <w: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级，耐水色牢度≥</w:t>
                  </w:r>
                  <w: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级，耐酸汗渍色牢度≥4级，耐碱汗渍色牢度≥4级，耐皂洗色牢度≥4级，耐唾液色牢度≥4级，耐氯化水色牢度≥4级，酚黄变色牢度样品变色≥4级。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9.水洗尺寸变化率-3%～+3%。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制作工艺：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床单：四周裹边。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被套：开口处内超30cm加暗扣3对。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枕套：四周5cm飞边。开口处内超29cm。</w:t>
                  </w:r>
                </w:p>
              </w:tc>
            </w:tr>
          </w:tbl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婴儿床单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65cm*95cm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1.面料成份：100%棉，印花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格子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面料；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2.纱支：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tex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（±2）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经向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Hans"/>
              </w:rPr>
              <w:t>14、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纬向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Hans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密度：经向密度：≥495根/10cm，纬向密度：≥270根/10cm 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3.pH值：4.0-8.5；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4.甲醛含量≤75mg/kg；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5.单位面积质量：115g/㎡（±5g/㎡）；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6.断裂强力：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≥220N，纬向≥220N；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7.水洗尺寸变化率-3%～+3%；</w:t>
            </w:r>
          </w:p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pacing w:line="320" w:lineRule="exact"/>
        <w:rPr>
          <w:rFonts w:hint="eastAsia" w:ascii="宋体" w:hAnsi="宋体" w:eastAsia="宋体" w:cs="宋体"/>
          <w:kern w:val="2"/>
          <w:sz w:val="18"/>
          <w:szCs w:val="18"/>
          <w:lang w:eastAsia="zh-CN" w:bidi="ar-SA"/>
        </w:rPr>
      </w:pPr>
    </w:p>
    <w:p>
      <w:pPr>
        <w:pStyle w:val="5"/>
        <w:numPr>
          <w:ilvl w:val="0"/>
          <w:numId w:val="0"/>
        </w:numPr>
        <w:ind w:right="1470" w:rightChars="700"/>
        <w:rPr>
          <w:rFonts w:hint="eastAsia"/>
          <w:lang w:eastAsia="zh-CN"/>
        </w:rPr>
      </w:pPr>
    </w:p>
    <w:p>
      <w:pPr>
        <w:tabs>
          <w:tab w:val="left" w:pos="5486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（完结）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A1B90"/>
    <w:multiLevelType w:val="singleLevel"/>
    <w:tmpl w:val="850A1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B4E78C"/>
    <w:multiLevelType w:val="singleLevel"/>
    <w:tmpl w:val="9CB4E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DEFB34"/>
    <w:multiLevelType w:val="singleLevel"/>
    <w:tmpl w:val="CFDEFB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9BFE35"/>
    <w:multiLevelType w:val="singleLevel"/>
    <w:tmpl w:val="0C9BFE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WNmYjIzMmM5MmMxNDg1MDRiYTgzY2U1ZGE2NWMifQ=="/>
  </w:docVars>
  <w:rsids>
    <w:rsidRoot w:val="00000000"/>
    <w:rsid w:val="015B4FE6"/>
    <w:rsid w:val="026659F0"/>
    <w:rsid w:val="02A1386C"/>
    <w:rsid w:val="02A62291"/>
    <w:rsid w:val="031823DE"/>
    <w:rsid w:val="031C07A5"/>
    <w:rsid w:val="038720C2"/>
    <w:rsid w:val="047A3951"/>
    <w:rsid w:val="049031F8"/>
    <w:rsid w:val="04BD1B14"/>
    <w:rsid w:val="051E25B2"/>
    <w:rsid w:val="05E27A84"/>
    <w:rsid w:val="060A2B37"/>
    <w:rsid w:val="06527BD1"/>
    <w:rsid w:val="06C97E43"/>
    <w:rsid w:val="075524D7"/>
    <w:rsid w:val="076F17EB"/>
    <w:rsid w:val="087C2531"/>
    <w:rsid w:val="08B80F70"/>
    <w:rsid w:val="0A00672A"/>
    <w:rsid w:val="0CA21D1B"/>
    <w:rsid w:val="0CBF03EE"/>
    <w:rsid w:val="0CD92EEF"/>
    <w:rsid w:val="0D613984"/>
    <w:rsid w:val="0E9C09EC"/>
    <w:rsid w:val="0F040A6B"/>
    <w:rsid w:val="10152804"/>
    <w:rsid w:val="1049724A"/>
    <w:rsid w:val="108D02A2"/>
    <w:rsid w:val="111D4066"/>
    <w:rsid w:val="11BF6ECB"/>
    <w:rsid w:val="11DB182B"/>
    <w:rsid w:val="11F03528"/>
    <w:rsid w:val="122D652B"/>
    <w:rsid w:val="12380A2C"/>
    <w:rsid w:val="13232D35"/>
    <w:rsid w:val="13631C03"/>
    <w:rsid w:val="13D6674E"/>
    <w:rsid w:val="13F56BD4"/>
    <w:rsid w:val="14073E3F"/>
    <w:rsid w:val="14200E89"/>
    <w:rsid w:val="145C30F7"/>
    <w:rsid w:val="14AA20B4"/>
    <w:rsid w:val="155A6AFD"/>
    <w:rsid w:val="156A53A0"/>
    <w:rsid w:val="15BB2E93"/>
    <w:rsid w:val="171D41E4"/>
    <w:rsid w:val="17342109"/>
    <w:rsid w:val="1783099B"/>
    <w:rsid w:val="183C74C7"/>
    <w:rsid w:val="185108D3"/>
    <w:rsid w:val="18982224"/>
    <w:rsid w:val="18CB25F9"/>
    <w:rsid w:val="19306223"/>
    <w:rsid w:val="198A4263"/>
    <w:rsid w:val="1A0758B3"/>
    <w:rsid w:val="1A9D6217"/>
    <w:rsid w:val="1ABD5F72"/>
    <w:rsid w:val="1AC63078"/>
    <w:rsid w:val="1B7A20B5"/>
    <w:rsid w:val="1C27117E"/>
    <w:rsid w:val="1C784846"/>
    <w:rsid w:val="1CE04199"/>
    <w:rsid w:val="1CF163A7"/>
    <w:rsid w:val="1D216C8C"/>
    <w:rsid w:val="1D61352C"/>
    <w:rsid w:val="1DAF6F40"/>
    <w:rsid w:val="1DBF43CD"/>
    <w:rsid w:val="1E063A91"/>
    <w:rsid w:val="1E206948"/>
    <w:rsid w:val="1EA23DFC"/>
    <w:rsid w:val="1EE61F3B"/>
    <w:rsid w:val="1F52137F"/>
    <w:rsid w:val="1F881244"/>
    <w:rsid w:val="1F9C084C"/>
    <w:rsid w:val="202D5948"/>
    <w:rsid w:val="20C53DD2"/>
    <w:rsid w:val="21676C37"/>
    <w:rsid w:val="23DC2FAD"/>
    <w:rsid w:val="24305A06"/>
    <w:rsid w:val="244B2840"/>
    <w:rsid w:val="246D6228"/>
    <w:rsid w:val="24DA7BC0"/>
    <w:rsid w:val="24E34B84"/>
    <w:rsid w:val="27982240"/>
    <w:rsid w:val="2835183D"/>
    <w:rsid w:val="285E555B"/>
    <w:rsid w:val="287B79EF"/>
    <w:rsid w:val="29C966E1"/>
    <w:rsid w:val="29CE1F49"/>
    <w:rsid w:val="2A265CB3"/>
    <w:rsid w:val="2A403DF7"/>
    <w:rsid w:val="2AAC3315"/>
    <w:rsid w:val="2B481A6E"/>
    <w:rsid w:val="2C46226B"/>
    <w:rsid w:val="2C7212B2"/>
    <w:rsid w:val="2CD715E5"/>
    <w:rsid w:val="2DE16679"/>
    <w:rsid w:val="2E254102"/>
    <w:rsid w:val="2EAD65D1"/>
    <w:rsid w:val="2EB9568B"/>
    <w:rsid w:val="2F391C13"/>
    <w:rsid w:val="2F4013D8"/>
    <w:rsid w:val="2F974B8C"/>
    <w:rsid w:val="305B205D"/>
    <w:rsid w:val="30DC284C"/>
    <w:rsid w:val="30ED53AB"/>
    <w:rsid w:val="31197F4E"/>
    <w:rsid w:val="31AC3723"/>
    <w:rsid w:val="32566140"/>
    <w:rsid w:val="333746BC"/>
    <w:rsid w:val="33743B62"/>
    <w:rsid w:val="337C6572"/>
    <w:rsid w:val="33A67A93"/>
    <w:rsid w:val="33D23450"/>
    <w:rsid w:val="34164C19"/>
    <w:rsid w:val="34C0577A"/>
    <w:rsid w:val="35A96CCB"/>
    <w:rsid w:val="35F76384"/>
    <w:rsid w:val="362A11DF"/>
    <w:rsid w:val="36413AA3"/>
    <w:rsid w:val="37774F52"/>
    <w:rsid w:val="381C47C8"/>
    <w:rsid w:val="389600D6"/>
    <w:rsid w:val="39751C5E"/>
    <w:rsid w:val="3A571AE7"/>
    <w:rsid w:val="3AFC1496"/>
    <w:rsid w:val="3B7346FF"/>
    <w:rsid w:val="3D363C36"/>
    <w:rsid w:val="3D65276D"/>
    <w:rsid w:val="3DE360A4"/>
    <w:rsid w:val="3EA03A5D"/>
    <w:rsid w:val="3ED71449"/>
    <w:rsid w:val="3EED47C8"/>
    <w:rsid w:val="3F4B7F0F"/>
    <w:rsid w:val="3F53097E"/>
    <w:rsid w:val="3F7E18C4"/>
    <w:rsid w:val="3FAB1E8A"/>
    <w:rsid w:val="405368AD"/>
    <w:rsid w:val="40E816EB"/>
    <w:rsid w:val="40EE7A90"/>
    <w:rsid w:val="41126768"/>
    <w:rsid w:val="41CA5918"/>
    <w:rsid w:val="424010B3"/>
    <w:rsid w:val="428E1E1E"/>
    <w:rsid w:val="42F21BB6"/>
    <w:rsid w:val="431E31A2"/>
    <w:rsid w:val="4382768D"/>
    <w:rsid w:val="43D85A47"/>
    <w:rsid w:val="445353C9"/>
    <w:rsid w:val="46364CA7"/>
    <w:rsid w:val="46617874"/>
    <w:rsid w:val="4668482D"/>
    <w:rsid w:val="46690BD8"/>
    <w:rsid w:val="473236C0"/>
    <w:rsid w:val="47347438"/>
    <w:rsid w:val="479559E1"/>
    <w:rsid w:val="479B1265"/>
    <w:rsid w:val="485458B8"/>
    <w:rsid w:val="48E64762"/>
    <w:rsid w:val="490D6193"/>
    <w:rsid w:val="49614ABA"/>
    <w:rsid w:val="496438D9"/>
    <w:rsid w:val="49D92519"/>
    <w:rsid w:val="49F7299F"/>
    <w:rsid w:val="4A9A4518"/>
    <w:rsid w:val="4AAE7501"/>
    <w:rsid w:val="4ADD3943"/>
    <w:rsid w:val="4B447D1C"/>
    <w:rsid w:val="4BCB5E91"/>
    <w:rsid w:val="4C8C2F4B"/>
    <w:rsid w:val="4CC823D1"/>
    <w:rsid w:val="4D456007"/>
    <w:rsid w:val="4E023ACD"/>
    <w:rsid w:val="4E54243E"/>
    <w:rsid w:val="4EB66B25"/>
    <w:rsid w:val="4F6A776F"/>
    <w:rsid w:val="4F905428"/>
    <w:rsid w:val="4FFE6835"/>
    <w:rsid w:val="508A7F9A"/>
    <w:rsid w:val="50E05F3B"/>
    <w:rsid w:val="517D588F"/>
    <w:rsid w:val="5221680B"/>
    <w:rsid w:val="52B21053"/>
    <w:rsid w:val="52C35B14"/>
    <w:rsid w:val="53B84F4D"/>
    <w:rsid w:val="5402266C"/>
    <w:rsid w:val="546649A9"/>
    <w:rsid w:val="54F40207"/>
    <w:rsid w:val="554A7E27"/>
    <w:rsid w:val="56AB07A1"/>
    <w:rsid w:val="56C86933"/>
    <w:rsid w:val="56E64437"/>
    <w:rsid w:val="56EE0C86"/>
    <w:rsid w:val="57392849"/>
    <w:rsid w:val="587E7AFC"/>
    <w:rsid w:val="59254E33"/>
    <w:rsid w:val="59770FCB"/>
    <w:rsid w:val="59965D30"/>
    <w:rsid w:val="59E37404"/>
    <w:rsid w:val="5A04713E"/>
    <w:rsid w:val="5B6854AA"/>
    <w:rsid w:val="5BA04C44"/>
    <w:rsid w:val="5C401F83"/>
    <w:rsid w:val="5C583771"/>
    <w:rsid w:val="5C8E7193"/>
    <w:rsid w:val="5D867E6A"/>
    <w:rsid w:val="5DA87DE0"/>
    <w:rsid w:val="60017C7C"/>
    <w:rsid w:val="61F07FA8"/>
    <w:rsid w:val="62606EDB"/>
    <w:rsid w:val="640B10C9"/>
    <w:rsid w:val="645C1924"/>
    <w:rsid w:val="64682077"/>
    <w:rsid w:val="65BD2897"/>
    <w:rsid w:val="66554577"/>
    <w:rsid w:val="66F54890"/>
    <w:rsid w:val="67257FE4"/>
    <w:rsid w:val="674A1F08"/>
    <w:rsid w:val="677D22DE"/>
    <w:rsid w:val="692534D8"/>
    <w:rsid w:val="69653029"/>
    <w:rsid w:val="6971334F"/>
    <w:rsid w:val="69A973BA"/>
    <w:rsid w:val="69FC398E"/>
    <w:rsid w:val="6A3A7E87"/>
    <w:rsid w:val="6AA10091"/>
    <w:rsid w:val="6C8B0FF9"/>
    <w:rsid w:val="6CF44DF0"/>
    <w:rsid w:val="6D003795"/>
    <w:rsid w:val="6D1234C8"/>
    <w:rsid w:val="6D432064"/>
    <w:rsid w:val="6DB41F36"/>
    <w:rsid w:val="6DC50D47"/>
    <w:rsid w:val="6DF36E56"/>
    <w:rsid w:val="6E8421A4"/>
    <w:rsid w:val="6EB34C15"/>
    <w:rsid w:val="6FB70357"/>
    <w:rsid w:val="6FF944CB"/>
    <w:rsid w:val="70B84A86"/>
    <w:rsid w:val="70BF5715"/>
    <w:rsid w:val="716A5681"/>
    <w:rsid w:val="72D5074F"/>
    <w:rsid w:val="72FD42D3"/>
    <w:rsid w:val="73471BD2"/>
    <w:rsid w:val="73F1776E"/>
    <w:rsid w:val="74CF1C9F"/>
    <w:rsid w:val="74FB248B"/>
    <w:rsid w:val="75734D20"/>
    <w:rsid w:val="75A5137D"/>
    <w:rsid w:val="75EA7E55"/>
    <w:rsid w:val="769431A0"/>
    <w:rsid w:val="777B27D2"/>
    <w:rsid w:val="77B227F5"/>
    <w:rsid w:val="77BD2282"/>
    <w:rsid w:val="781A1483"/>
    <w:rsid w:val="7880578A"/>
    <w:rsid w:val="794F6676"/>
    <w:rsid w:val="795B73FE"/>
    <w:rsid w:val="797C1599"/>
    <w:rsid w:val="79E609D5"/>
    <w:rsid w:val="79F301DD"/>
    <w:rsid w:val="7A097A01"/>
    <w:rsid w:val="7AA630B9"/>
    <w:rsid w:val="7ACE743B"/>
    <w:rsid w:val="7B2C38DC"/>
    <w:rsid w:val="7B7B3ACD"/>
    <w:rsid w:val="7E5356EF"/>
    <w:rsid w:val="7EC14D4E"/>
    <w:rsid w:val="7EC5213E"/>
    <w:rsid w:val="7F805B66"/>
    <w:rsid w:val="7F8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宋体"/>
      <w:b/>
      <w:kern w:val="44"/>
      <w:sz w:val="36"/>
      <w:szCs w:val="24"/>
    </w:rPr>
  </w:style>
  <w:style w:type="paragraph" w:styleId="2">
    <w:name w:val="heading 4"/>
    <w:basedOn w:val="1"/>
    <w:next w:val="1"/>
    <w:semiHidden/>
    <w:unhideWhenUsed/>
    <w:qFormat/>
    <w:uiPriority w:val="9"/>
    <w:pPr>
      <w:pBdr>
        <w:bottom w:val="single" w:color="BDD6EE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lock Text"/>
    <w:basedOn w:val="1"/>
    <w:unhideWhenUsed/>
    <w:qFormat/>
    <w:uiPriority w:val="99"/>
    <w:pPr>
      <w:spacing w:after="120" w:afterLines="0"/>
      <w:ind w:left="1440" w:leftChars="700" w:right="700" w:rightChars="7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9">
    <w:name w:val="Body Text First Indent"/>
    <w:basedOn w:val="1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 Spacing"/>
    <w:basedOn w:val="1"/>
    <w:qFormat/>
    <w:uiPriority w:val="1"/>
    <w:pPr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3390</Words>
  <Characters>4115</Characters>
  <Lines>0</Lines>
  <Paragraphs>0</Paragraphs>
  <TotalTime>0</TotalTime>
  <ScaleCrop>false</ScaleCrop>
  <LinksUpToDate>false</LinksUpToDate>
  <CharactersWithSpaces>4141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2022-09-23T08:24:00Z</dcterms:created>
  <dc:creator>Administrator</dc:creator>
  <cp:lastModifiedBy>蜕变</cp:lastModifiedBy>
  <dcterms:modified xsi:type="dcterms:W3CDTF">2023-11-29T08:34:42Z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015CB9CB26464DCF94213F0E615DD318</vt:lpwstr>
  </property>
</Properties>
</file>