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ED26A">
      <w:pPr>
        <w:pStyle w:val="3"/>
        <w:spacing w:before="0" w:beforeLines="0" w:after="0" w:afterLines="0" w:line="360" w:lineRule="auto"/>
        <w:rPr>
          <w:rFonts w:ascii="宋体" w:hAnsi="宋体" w:eastAsia="宋体" w:cs="宋体"/>
          <w:bCs/>
          <w:color w:val="auto"/>
        </w:rPr>
      </w:pPr>
      <w:r>
        <w:rPr>
          <w:rFonts w:hint="eastAsia" w:ascii="宋体" w:hAnsi="宋体" w:eastAsia="宋体" w:cs="宋体"/>
          <w:bCs/>
          <w:color w:val="auto"/>
        </w:rPr>
        <w:t>项目服务需求</w:t>
      </w:r>
    </w:p>
    <w:p w14:paraId="4ADAD74B">
      <w:pPr>
        <w:pStyle w:val="4"/>
        <w:spacing w:line="240" w:lineRule="auto"/>
        <w:jc w:val="left"/>
        <w:rPr>
          <w:rFonts w:cs="宋体"/>
          <w:b/>
          <w:color w:val="auto"/>
          <w:sz w:val="24"/>
        </w:rPr>
      </w:pPr>
      <w:bookmarkStart w:id="0" w:name="_Toc76387235"/>
      <w:bookmarkStart w:id="1" w:name="_Toc17780"/>
      <w:bookmarkStart w:id="2" w:name="_Toc161950072"/>
      <w:r>
        <w:rPr>
          <w:rFonts w:hint="eastAsia" w:cs="宋体"/>
          <w:b/>
          <w:color w:val="auto"/>
          <w:sz w:val="24"/>
        </w:rPr>
        <w:t>一、</w:t>
      </w:r>
      <w:r>
        <w:rPr>
          <w:rFonts w:hint="eastAsia" w:cs="宋体"/>
          <w:b/>
          <w:color w:val="auto"/>
          <w:sz w:val="24"/>
          <w:lang w:eastAsia="zh-CN"/>
        </w:rPr>
        <w:t>采购</w:t>
      </w:r>
      <w:r>
        <w:rPr>
          <w:rFonts w:hint="eastAsia" w:cs="宋体"/>
          <w:b/>
          <w:color w:val="auto"/>
          <w:sz w:val="24"/>
        </w:rPr>
        <w:t>项目</w:t>
      </w:r>
      <w:bookmarkEnd w:id="0"/>
      <w:bookmarkEnd w:id="1"/>
      <w:bookmarkEnd w:id="2"/>
    </w:p>
    <w:tbl>
      <w:tblPr>
        <w:tblStyle w:val="13"/>
        <w:tblW w:w="6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1129"/>
        <w:gridCol w:w="1290"/>
        <w:gridCol w:w="1260"/>
      </w:tblGrid>
      <w:tr w14:paraId="2506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vAlign w:val="center"/>
          </w:tcPr>
          <w:p w14:paraId="48822739">
            <w:pPr>
              <w:pStyle w:val="7"/>
              <w:adjustRightInd w:val="0"/>
              <w:snapToGrid w:val="0"/>
              <w:spacing w:line="240" w:lineRule="auto"/>
              <w:ind w:left="0"/>
              <w:jc w:val="center"/>
              <w:outlineLvl w:val="0"/>
              <w:rPr>
                <w:rFonts w:ascii="宋体" w:hAnsi="宋体" w:cs="宋体"/>
                <w:b/>
                <w:color w:val="auto"/>
                <w:sz w:val="21"/>
                <w:szCs w:val="21"/>
              </w:rPr>
            </w:pPr>
            <w:r>
              <w:rPr>
                <w:rFonts w:hint="eastAsia" w:ascii="宋体" w:hAnsi="宋体" w:cs="宋体"/>
                <w:b/>
                <w:color w:val="auto"/>
                <w:sz w:val="21"/>
                <w:szCs w:val="21"/>
              </w:rPr>
              <w:t>项目名称</w:t>
            </w:r>
          </w:p>
        </w:tc>
        <w:tc>
          <w:tcPr>
            <w:tcW w:w="1129" w:type="dxa"/>
            <w:vAlign w:val="center"/>
          </w:tcPr>
          <w:p w14:paraId="442785E1">
            <w:pPr>
              <w:pStyle w:val="7"/>
              <w:adjustRightInd w:val="0"/>
              <w:snapToGrid w:val="0"/>
              <w:spacing w:line="240" w:lineRule="auto"/>
              <w:ind w:left="0"/>
              <w:jc w:val="center"/>
              <w:outlineLvl w:val="0"/>
              <w:rPr>
                <w:rFonts w:ascii="宋体" w:hAnsi="宋体" w:cs="宋体"/>
                <w:b/>
                <w:color w:val="auto"/>
                <w:sz w:val="21"/>
                <w:szCs w:val="21"/>
              </w:rPr>
            </w:pPr>
            <w:r>
              <w:rPr>
                <w:rFonts w:hint="eastAsia" w:ascii="宋体" w:hAnsi="宋体" w:cs="宋体"/>
                <w:b/>
                <w:color w:val="auto"/>
                <w:sz w:val="21"/>
                <w:szCs w:val="21"/>
              </w:rPr>
              <w:t>服务期</w:t>
            </w:r>
          </w:p>
        </w:tc>
        <w:tc>
          <w:tcPr>
            <w:tcW w:w="1290" w:type="dxa"/>
            <w:vAlign w:val="center"/>
          </w:tcPr>
          <w:p w14:paraId="3B47F037">
            <w:pPr>
              <w:pStyle w:val="7"/>
              <w:adjustRightInd w:val="0"/>
              <w:snapToGrid w:val="0"/>
              <w:spacing w:line="240" w:lineRule="auto"/>
              <w:ind w:left="0"/>
              <w:jc w:val="center"/>
              <w:outlineLvl w:val="0"/>
              <w:rPr>
                <w:rFonts w:ascii="宋体" w:hAnsi="宋体" w:cs="宋体"/>
                <w:b/>
                <w:color w:val="auto"/>
                <w:sz w:val="21"/>
                <w:szCs w:val="21"/>
              </w:rPr>
            </w:pPr>
            <w:r>
              <w:rPr>
                <w:rFonts w:hint="eastAsia" w:ascii="宋体" w:hAnsi="宋体" w:cs="宋体"/>
                <w:b/>
                <w:color w:val="auto"/>
                <w:sz w:val="21"/>
                <w:szCs w:val="21"/>
              </w:rPr>
              <w:t>最高限价</w:t>
            </w:r>
          </w:p>
          <w:p w14:paraId="51D741E6">
            <w:pPr>
              <w:pStyle w:val="7"/>
              <w:adjustRightInd w:val="0"/>
              <w:snapToGrid w:val="0"/>
              <w:spacing w:line="240" w:lineRule="auto"/>
              <w:ind w:left="0"/>
              <w:jc w:val="center"/>
              <w:outlineLvl w:val="0"/>
              <w:rPr>
                <w:rFonts w:ascii="宋体" w:hAnsi="宋体" w:cs="宋体"/>
                <w:b/>
                <w:color w:val="auto"/>
                <w:sz w:val="21"/>
                <w:szCs w:val="21"/>
              </w:rPr>
            </w:pPr>
            <w:r>
              <w:rPr>
                <w:rFonts w:hint="eastAsia" w:ascii="宋体" w:hAnsi="宋体" w:cs="宋体"/>
                <w:b/>
                <w:color w:val="auto"/>
                <w:sz w:val="21"/>
                <w:szCs w:val="21"/>
              </w:rPr>
              <w:t>（万元）</w:t>
            </w:r>
          </w:p>
        </w:tc>
        <w:tc>
          <w:tcPr>
            <w:tcW w:w="1260" w:type="dxa"/>
            <w:vAlign w:val="center"/>
          </w:tcPr>
          <w:p w14:paraId="4A07FF2D">
            <w:pPr>
              <w:pStyle w:val="7"/>
              <w:adjustRightInd w:val="0"/>
              <w:snapToGrid w:val="0"/>
              <w:spacing w:line="240" w:lineRule="auto"/>
              <w:ind w:left="0"/>
              <w:jc w:val="center"/>
              <w:outlineLvl w:val="0"/>
              <w:rPr>
                <w:rFonts w:ascii="宋体" w:hAnsi="宋体" w:cs="宋体"/>
                <w:b/>
                <w:color w:val="auto"/>
                <w:sz w:val="21"/>
                <w:szCs w:val="21"/>
              </w:rPr>
            </w:pPr>
            <w:r>
              <w:rPr>
                <w:rFonts w:hint="eastAsia" w:ascii="宋体" w:hAnsi="宋体" w:cs="宋体"/>
                <w:b/>
                <w:color w:val="auto"/>
                <w:sz w:val="21"/>
                <w:szCs w:val="21"/>
              </w:rPr>
              <w:t>采购项目所属类别</w:t>
            </w:r>
          </w:p>
        </w:tc>
      </w:tr>
      <w:tr w14:paraId="1B92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965" w:type="dxa"/>
            <w:vAlign w:val="center"/>
          </w:tcPr>
          <w:p w14:paraId="1698F8FF">
            <w:pPr>
              <w:pStyle w:val="5"/>
              <w:spacing w:line="240" w:lineRule="auto"/>
              <w:ind w:firstLine="0"/>
              <w:jc w:val="center"/>
              <w:outlineLvl w:val="0"/>
              <w:rPr>
                <w:rFonts w:ascii="宋体" w:hAnsi="宋体" w:cs="宋体"/>
                <w:color w:val="auto"/>
                <w:sz w:val="21"/>
                <w:szCs w:val="21"/>
              </w:rPr>
            </w:pPr>
            <w:r>
              <w:rPr>
                <w:rFonts w:hint="eastAsia" w:ascii="宋体" w:hAnsi="宋体" w:cs="宋体"/>
                <w:color w:val="auto"/>
                <w:sz w:val="21"/>
                <w:szCs w:val="21"/>
              </w:rPr>
              <w:t>三院</w:t>
            </w:r>
            <w:r>
              <w:rPr>
                <w:rFonts w:hint="eastAsia" w:ascii="宋体" w:hAnsi="宋体" w:cs="宋体"/>
                <w:color w:val="auto"/>
                <w:sz w:val="21"/>
                <w:szCs w:val="21"/>
                <w:lang w:eastAsia="zh-CN"/>
              </w:rPr>
              <w:t>院区</w:t>
            </w:r>
            <w:r>
              <w:rPr>
                <w:rFonts w:hint="eastAsia" w:ascii="宋体" w:hAnsi="宋体" w:cs="宋体"/>
                <w:color w:val="auto"/>
                <w:sz w:val="21"/>
                <w:szCs w:val="21"/>
              </w:rPr>
              <w:t>消化内科3根镜子维保</w:t>
            </w:r>
            <w:r>
              <w:rPr>
                <w:rFonts w:hint="eastAsia" w:ascii="宋体" w:hAnsi="宋体" w:cs="宋体"/>
                <w:color w:val="auto"/>
                <w:sz w:val="21"/>
                <w:szCs w:val="21"/>
                <w:lang w:eastAsia="zh-CN"/>
              </w:rPr>
              <w:t>服务</w:t>
            </w:r>
            <w:r>
              <w:rPr>
                <w:rFonts w:hint="eastAsia" w:ascii="宋体" w:hAnsi="宋体" w:cs="宋体"/>
                <w:color w:val="auto"/>
                <w:sz w:val="21"/>
                <w:szCs w:val="21"/>
              </w:rPr>
              <w:t>项目</w:t>
            </w:r>
          </w:p>
        </w:tc>
        <w:tc>
          <w:tcPr>
            <w:tcW w:w="1129" w:type="dxa"/>
            <w:vAlign w:val="center"/>
          </w:tcPr>
          <w:p w14:paraId="059504D0">
            <w:pPr>
              <w:pStyle w:val="7"/>
              <w:adjustRightInd w:val="0"/>
              <w:snapToGrid w:val="0"/>
              <w:spacing w:line="240" w:lineRule="auto"/>
              <w:ind w:left="0"/>
              <w:jc w:val="center"/>
              <w:outlineLvl w:val="0"/>
              <w:rPr>
                <w:rFonts w:ascii="宋体" w:hAnsi="宋体" w:cs="宋体"/>
                <w:color w:val="auto"/>
                <w:sz w:val="21"/>
                <w:szCs w:val="21"/>
              </w:rPr>
            </w:pPr>
            <w:r>
              <w:rPr>
                <w:rFonts w:hint="eastAsia" w:ascii="宋体" w:hAnsi="宋体" w:cs="宋体"/>
                <w:color w:val="auto"/>
                <w:sz w:val="21"/>
                <w:szCs w:val="21"/>
              </w:rPr>
              <w:t>3年</w:t>
            </w:r>
          </w:p>
        </w:tc>
        <w:tc>
          <w:tcPr>
            <w:tcW w:w="1290" w:type="dxa"/>
            <w:vAlign w:val="center"/>
          </w:tcPr>
          <w:p w14:paraId="40E65F8D">
            <w:pPr>
              <w:pStyle w:val="7"/>
              <w:adjustRightInd w:val="0"/>
              <w:snapToGrid w:val="0"/>
              <w:spacing w:line="240" w:lineRule="auto"/>
              <w:ind w:left="0"/>
              <w:jc w:val="center"/>
              <w:outlineLvl w:val="0"/>
              <w:rPr>
                <w:rFonts w:ascii="宋体" w:hAnsi="宋体" w:cs="宋体"/>
                <w:bCs/>
                <w:color w:val="auto"/>
                <w:sz w:val="21"/>
                <w:szCs w:val="21"/>
              </w:rPr>
            </w:pPr>
            <w:r>
              <w:rPr>
                <w:rFonts w:ascii="宋体" w:hAnsi="宋体" w:cs="宋体"/>
                <w:bCs/>
                <w:color w:val="auto"/>
                <w:sz w:val="21"/>
                <w:szCs w:val="21"/>
              </w:rPr>
              <w:t>29</w:t>
            </w:r>
            <w:r>
              <w:rPr>
                <w:rFonts w:hint="eastAsia" w:ascii="宋体" w:hAnsi="宋体" w:cs="宋体"/>
                <w:bCs/>
                <w:color w:val="auto"/>
                <w:sz w:val="21"/>
                <w:szCs w:val="21"/>
              </w:rPr>
              <w:t>.</w:t>
            </w:r>
            <w:r>
              <w:rPr>
                <w:rFonts w:ascii="宋体" w:hAnsi="宋体" w:cs="宋体"/>
                <w:bCs/>
                <w:color w:val="auto"/>
                <w:sz w:val="21"/>
                <w:szCs w:val="21"/>
              </w:rPr>
              <w:t>8</w:t>
            </w:r>
          </w:p>
        </w:tc>
        <w:tc>
          <w:tcPr>
            <w:tcW w:w="1260" w:type="dxa"/>
            <w:vAlign w:val="center"/>
          </w:tcPr>
          <w:p w14:paraId="60EC82B5">
            <w:pPr>
              <w:pStyle w:val="7"/>
              <w:adjustRightInd w:val="0"/>
              <w:snapToGrid w:val="0"/>
              <w:spacing w:line="240" w:lineRule="auto"/>
              <w:ind w:left="0"/>
              <w:jc w:val="center"/>
              <w:outlineLvl w:val="0"/>
              <w:rPr>
                <w:rFonts w:ascii="宋体" w:hAnsi="宋体" w:cs="宋体"/>
                <w:color w:val="auto"/>
                <w:sz w:val="21"/>
                <w:szCs w:val="21"/>
              </w:rPr>
            </w:pPr>
            <w:r>
              <w:rPr>
                <w:rFonts w:hint="eastAsia" w:ascii="宋体" w:hAnsi="宋体" w:cs="宋体"/>
                <w:color w:val="auto"/>
                <w:sz w:val="21"/>
                <w:szCs w:val="21"/>
              </w:rPr>
              <w:t>服务类</w:t>
            </w:r>
          </w:p>
        </w:tc>
      </w:tr>
    </w:tbl>
    <w:p w14:paraId="70F39E8E">
      <w:pPr>
        <w:pStyle w:val="4"/>
        <w:spacing w:line="400" w:lineRule="exact"/>
        <w:jc w:val="left"/>
        <w:rPr>
          <w:rFonts w:cs="宋体"/>
          <w:b/>
          <w:color w:val="auto"/>
          <w:sz w:val="24"/>
        </w:rPr>
      </w:pPr>
      <w:bookmarkStart w:id="3" w:name="_Toc18977"/>
      <w:bookmarkStart w:id="4" w:name="_Toc161950073"/>
      <w:r>
        <w:rPr>
          <w:rFonts w:hint="eastAsia" w:cs="宋体"/>
          <w:b/>
          <w:color w:val="auto"/>
          <w:sz w:val="24"/>
        </w:rPr>
        <w:t>二、</w:t>
      </w:r>
      <w:r>
        <w:rPr>
          <w:rFonts w:hint="eastAsia" w:cs="宋体"/>
          <w:b/>
          <w:color w:val="auto"/>
          <w:sz w:val="24"/>
          <w:lang w:eastAsia="zh-CN"/>
        </w:rPr>
        <w:t>响应人</w:t>
      </w:r>
      <w:r>
        <w:rPr>
          <w:rFonts w:hint="eastAsia" w:cs="宋体"/>
          <w:b/>
          <w:color w:val="auto"/>
          <w:sz w:val="24"/>
        </w:rPr>
        <w:t>资格要求</w:t>
      </w:r>
    </w:p>
    <w:p w14:paraId="04D0D1EC">
      <w:pPr>
        <w:pStyle w:val="10"/>
        <w:keepNext w:val="0"/>
        <w:keepLines w:val="0"/>
        <w:pageBreakBefore w:val="0"/>
        <w:widowControl/>
        <w:shd w:val="clear" w:color="auto" w:fill="FFFFFF"/>
        <w:kinsoku/>
        <w:wordWrap/>
        <w:overflowPunct/>
        <w:topLinePunct w:val="0"/>
        <w:autoSpaceDE/>
        <w:autoSpaceDN/>
        <w:bidi w:val="0"/>
        <w:adjustRightInd/>
        <w:snapToGrid/>
        <w:spacing w:line="240" w:lineRule="exact"/>
        <w:ind w:firstLine="482"/>
        <w:jc w:val="both"/>
        <w:textAlignment w:val="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（一）基本资格条件</w:t>
      </w:r>
      <w:bookmarkStart w:id="44" w:name="_GoBack"/>
      <w:bookmarkEnd w:id="44"/>
    </w:p>
    <w:p w14:paraId="5A11EAA7">
      <w:pPr>
        <w:pStyle w:val="10"/>
        <w:keepNext w:val="0"/>
        <w:keepLines w:val="0"/>
        <w:pageBreakBefore w:val="0"/>
        <w:widowControl/>
        <w:shd w:val="clear" w:color="auto" w:fill="FFFFFF"/>
        <w:kinsoku/>
        <w:wordWrap/>
        <w:overflowPunct/>
        <w:topLinePunct w:val="0"/>
        <w:autoSpaceDE/>
        <w:autoSpaceDN/>
        <w:bidi w:val="0"/>
        <w:adjustRightInd/>
        <w:snapToGrid/>
        <w:spacing w:line="240" w:lineRule="exact"/>
        <w:ind w:firstLine="482"/>
        <w:jc w:val="both"/>
        <w:textAlignment w:val="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1.具有独立承担民事责任的能力；</w:t>
      </w:r>
    </w:p>
    <w:p w14:paraId="7C63F10A">
      <w:pPr>
        <w:pStyle w:val="10"/>
        <w:keepNext w:val="0"/>
        <w:keepLines w:val="0"/>
        <w:pageBreakBefore w:val="0"/>
        <w:widowControl/>
        <w:shd w:val="clear" w:color="auto" w:fill="FFFFFF"/>
        <w:kinsoku/>
        <w:wordWrap/>
        <w:overflowPunct/>
        <w:topLinePunct w:val="0"/>
        <w:autoSpaceDE/>
        <w:autoSpaceDN/>
        <w:bidi w:val="0"/>
        <w:adjustRightInd/>
        <w:snapToGrid/>
        <w:spacing w:line="240" w:lineRule="exact"/>
        <w:ind w:firstLine="482"/>
        <w:jc w:val="both"/>
        <w:textAlignment w:val="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2.具有良好的商业信誉和健全的财务会计制度；</w:t>
      </w:r>
    </w:p>
    <w:p w14:paraId="21230DD0">
      <w:pPr>
        <w:pStyle w:val="10"/>
        <w:keepNext w:val="0"/>
        <w:keepLines w:val="0"/>
        <w:pageBreakBefore w:val="0"/>
        <w:widowControl/>
        <w:shd w:val="clear" w:color="auto" w:fill="FFFFFF"/>
        <w:kinsoku/>
        <w:wordWrap/>
        <w:overflowPunct/>
        <w:topLinePunct w:val="0"/>
        <w:autoSpaceDE/>
        <w:autoSpaceDN/>
        <w:bidi w:val="0"/>
        <w:adjustRightInd/>
        <w:snapToGrid/>
        <w:spacing w:line="240" w:lineRule="exact"/>
        <w:ind w:firstLine="482"/>
        <w:jc w:val="both"/>
        <w:textAlignment w:val="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3.具有履行合同所必需的设备和专业技术能力；</w:t>
      </w:r>
    </w:p>
    <w:p w14:paraId="58D59DBB">
      <w:pPr>
        <w:pStyle w:val="10"/>
        <w:keepNext w:val="0"/>
        <w:keepLines w:val="0"/>
        <w:pageBreakBefore w:val="0"/>
        <w:widowControl/>
        <w:shd w:val="clear" w:color="auto" w:fill="FFFFFF"/>
        <w:kinsoku/>
        <w:wordWrap/>
        <w:overflowPunct/>
        <w:topLinePunct w:val="0"/>
        <w:autoSpaceDE/>
        <w:autoSpaceDN/>
        <w:bidi w:val="0"/>
        <w:adjustRightInd/>
        <w:snapToGrid/>
        <w:spacing w:line="240" w:lineRule="exact"/>
        <w:ind w:firstLine="482"/>
        <w:jc w:val="both"/>
        <w:textAlignment w:val="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4.有依法缴纳税收和社会保障资金的良好记录；</w:t>
      </w:r>
    </w:p>
    <w:p w14:paraId="1610FF7B">
      <w:pPr>
        <w:pStyle w:val="10"/>
        <w:keepNext w:val="0"/>
        <w:keepLines w:val="0"/>
        <w:pageBreakBefore w:val="0"/>
        <w:widowControl/>
        <w:shd w:val="clear" w:color="auto" w:fill="FFFFFF"/>
        <w:kinsoku/>
        <w:wordWrap/>
        <w:overflowPunct/>
        <w:topLinePunct w:val="0"/>
        <w:autoSpaceDE/>
        <w:autoSpaceDN/>
        <w:bidi w:val="0"/>
        <w:adjustRightInd/>
        <w:snapToGrid/>
        <w:spacing w:line="240" w:lineRule="exact"/>
        <w:ind w:firstLine="482"/>
        <w:jc w:val="both"/>
        <w:textAlignment w:val="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5.参加政府采购活动前三年内，在经营活动中没有重大违法记录；</w:t>
      </w:r>
    </w:p>
    <w:p w14:paraId="2525BE6B">
      <w:pPr>
        <w:pStyle w:val="10"/>
        <w:keepNext w:val="0"/>
        <w:keepLines w:val="0"/>
        <w:pageBreakBefore w:val="0"/>
        <w:widowControl/>
        <w:shd w:val="clear" w:color="auto" w:fill="FFFFFF"/>
        <w:kinsoku/>
        <w:wordWrap/>
        <w:overflowPunct/>
        <w:topLinePunct w:val="0"/>
        <w:autoSpaceDE/>
        <w:autoSpaceDN/>
        <w:bidi w:val="0"/>
        <w:adjustRightInd/>
        <w:snapToGrid/>
        <w:spacing w:line="240" w:lineRule="exact"/>
        <w:ind w:firstLine="482"/>
        <w:jc w:val="both"/>
        <w:textAlignment w:val="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6.法律、行政法规规定的其他条件。</w:t>
      </w:r>
    </w:p>
    <w:p w14:paraId="3406D335">
      <w:pPr>
        <w:pStyle w:val="10"/>
        <w:keepNext w:val="0"/>
        <w:keepLines w:val="0"/>
        <w:pageBreakBefore w:val="0"/>
        <w:widowControl/>
        <w:shd w:val="clear" w:color="auto" w:fill="FFFFFF"/>
        <w:kinsoku/>
        <w:wordWrap/>
        <w:overflowPunct/>
        <w:topLinePunct w:val="0"/>
        <w:autoSpaceDE/>
        <w:autoSpaceDN/>
        <w:bidi w:val="0"/>
        <w:adjustRightInd/>
        <w:snapToGrid/>
        <w:spacing w:line="240" w:lineRule="exact"/>
        <w:ind w:firstLine="482"/>
        <w:jc w:val="both"/>
        <w:textAlignment w:val="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备注：以上资格条件内容在递交投标文件时以书面承诺方式提供佐证（加盖公章）。</w:t>
      </w:r>
    </w:p>
    <w:p w14:paraId="04E164E9">
      <w:pPr>
        <w:pStyle w:val="10"/>
        <w:keepNext w:val="0"/>
        <w:keepLines w:val="0"/>
        <w:pageBreakBefore w:val="0"/>
        <w:widowControl/>
        <w:shd w:val="clear" w:color="auto" w:fill="FFFFFF"/>
        <w:kinsoku/>
        <w:wordWrap/>
        <w:overflowPunct/>
        <w:topLinePunct w:val="0"/>
        <w:autoSpaceDE/>
        <w:autoSpaceDN/>
        <w:bidi w:val="0"/>
        <w:adjustRightInd/>
        <w:snapToGrid/>
        <w:spacing w:line="240" w:lineRule="exact"/>
        <w:ind w:firstLine="482"/>
        <w:jc w:val="both"/>
        <w:textAlignment w:val="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（二）特定资格条件</w:t>
      </w:r>
    </w:p>
    <w:p w14:paraId="55E8EB27">
      <w:pPr>
        <w:pStyle w:val="10"/>
        <w:keepNext w:val="0"/>
        <w:keepLines w:val="0"/>
        <w:pageBreakBefore w:val="0"/>
        <w:widowControl/>
        <w:shd w:val="clear" w:color="auto" w:fill="FFFFFF"/>
        <w:kinsoku/>
        <w:wordWrap/>
        <w:overflowPunct/>
        <w:topLinePunct w:val="0"/>
        <w:autoSpaceDE/>
        <w:autoSpaceDN/>
        <w:bidi w:val="0"/>
        <w:adjustRightInd/>
        <w:snapToGrid/>
        <w:spacing w:line="240" w:lineRule="exact"/>
        <w:ind w:firstLine="482"/>
        <w:jc w:val="both"/>
        <w:textAlignment w:val="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无。</w:t>
      </w:r>
    </w:p>
    <w:p w14:paraId="0A101074">
      <w:pPr>
        <w:pStyle w:val="4"/>
        <w:spacing w:line="400" w:lineRule="exact"/>
        <w:jc w:val="left"/>
        <w:rPr>
          <w:rFonts w:cs="宋体"/>
          <w:b/>
          <w:color w:val="auto"/>
          <w:sz w:val="24"/>
        </w:rPr>
      </w:pPr>
      <w:r>
        <w:rPr>
          <w:rFonts w:hint="eastAsia" w:cs="宋体"/>
          <w:b/>
          <w:color w:val="auto"/>
          <w:sz w:val="24"/>
        </w:rPr>
        <w:t>三、服务范围、要求及标准</w:t>
      </w:r>
      <w:bookmarkEnd w:id="3"/>
      <w:bookmarkEnd w:id="4"/>
    </w:p>
    <w:p w14:paraId="3CDB961F">
      <w:pPr>
        <w:spacing w:line="400" w:lineRule="exact"/>
        <w:ind w:firstLine="480" w:firstLineChars="200"/>
        <w:outlineLvl w:val="2"/>
        <w:rPr>
          <w:rFonts w:ascii="宋体" w:hAnsi="宋体" w:cs="宋体"/>
          <w:color w:val="auto"/>
          <w:sz w:val="24"/>
          <w:szCs w:val="28"/>
        </w:rPr>
      </w:pPr>
      <w:r>
        <w:rPr>
          <w:rFonts w:hint="eastAsia" w:ascii="宋体" w:hAnsi="宋体" w:cs="宋体"/>
          <w:color w:val="auto"/>
          <w:sz w:val="24"/>
          <w:szCs w:val="28"/>
        </w:rPr>
        <w:t>1.服务范围：</w:t>
      </w:r>
      <w:bookmarkStart w:id="5" w:name="_Toc76387236"/>
      <w:r>
        <w:rPr>
          <w:rFonts w:hint="eastAsia" w:ascii="宋体" w:hAnsi="宋体" w:cs="宋体"/>
          <w:color w:val="auto"/>
          <w:sz w:val="24"/>
          <w:szCs w:val="28"/>
        </w:rPr>
        <w:t>2条奥林巴斯290系列胃镜（1条检查胃镜GIF-H290(2952857)，1条放大胃镜290GIF-H290Z(2137859），1条奥林巴斯PCF-H290(2930473）肠镜，三年期维保服务。</w:t>
      </w:r>
    </w:p>
    <w:p w14:paraId="220C6248">
      <w:pPr>
        <w:spacing w:line="400" w:lineRule="exact"/>
        <w:ind w:firstLine="480" w:firstLineChars="200"/>
        <w:outlineLvl w:val="2"/>
        <w:rPr>
          <w:rFonts w:ascii="宋体" w:hAnsi="宋体" w:cs="宋体"/>
          <w:color w:val="auto"/>
          <w:sz w:val="24"/>
          <w:szCs w:val="28"/>
        </w:rPr>
      </w:pPr>
      <w:r>
        <w:rPr>
          <w:rFonts w:hint="eastAsia" w:ascii="宋体" w:hAnsi="宋体" w:cs="宋体"/>
          <w:color w:val="auto"/>
          <w:sz w:val="24"/>
          <w:szCs w:val="28"/>
        </w:rPr>
        <w:t>2.服务要求：三年维保期内，对3条内镜进行维护保养，包括内镜出现故障时的维修服务及日常对内镜的主动检修维护服务。</w:t>
      </w:r>
    </w:p>
    <w:p w14:paraId="47BAB9FE">
      <w:pPr>
        <w:spacing w:line="400" w:lineRule="exact"/>
        <w:ind w:firstLine="480" w:firstLineChars="200"/>
        <w:outlineLvl w:val="2"/>
        <w:rPr>
          <w:rFonts w:ascii="宋体" w:hAnsi="宋体" w:cs="宋体"/>
          <w:color w:val="auto"/>
          <w:sz w:val="24"/>
          <w:szCs w:val="28"/>
        </w:rPr>
      </w:pPr>
      <w:r>
        <w:rPr>
          <w:rFonts w:hint="eastAsia" w:ascii="宋体" w:hAnsi="宋体" w:cs="宋体"/>
          <w:color w:val="auto"/>
          <w:sz w:val="24"/>
          <w:szCs w:val="28"/>
        </w:rPr>
        <w:t>3.服务标准：达到国家质量标准并保证设备正常运行。</w:t>
      </w:r>
    </w:p>
    <w:p w14:paraId="5C592071">
      <w:pPr>
        <w:pStyle w:val="4"/>
        <w:spacing w:line="400" w:lineRule="exact"/>
        <w:jc w:val="left"/>
        <w:rPr>
          <w:rFonts w:cs="宋体"/>
          <w:b/>
          <w:color w:val="auto"/>
          <w:sz w:val="24"/>
        </w:rPr>
      </w:pPr>
      <w:bookmarkStart w:id="6" w:name="_Toc11409"/>
      <w:bookmarkStart w:id="7" w:name="_Toc161950074"/>
      <w:r>
        <w:rPr>
          <w:rFonts w:hint="eastAsia" w:cs="宋体"/>
          <w:b/>
          <w:color w:val="auto"/>
          <w:sz w:val="24"/>
        </w:rPr>
        <w:t>四、</w:t>
      </w:r>
      <w:bookmarkStart w:id="8" w:name="_Hlk172217257"/>
      <w:r>
        <w:rPr>
          <w:rFonts w:hint="eastAsia" w:cs="宋体"/>
          <w:b/>
          <w:color w:val="auto"/>
          <w:sz w:val="24"/>
        </w:rPr>
        <w:t>服务需求</w:t>
      </w:r>
      <w:bookmarkEnd w:id="5"/>
      <w:bookmarkEnd w:id="6"/>
      <w:bookmarkEnd w:id="7"/>
      <w:bookmarkEnd w:id="8"/>
    </w:p>
    <w:p w14:paraId="45626F67">
      <w:pPr>
        <w:spacing w:line="400" w:lineRule="exact"/>
        <w:ind w:firstLine="480" w:firstLineChars="200"/>
        <w:outlineLvl w:val="2"/>
        <w:rPr>
          <w:rFonts w:ascii="宋体" w:hAnsi="宋体" w:cs="宋体"/>
          <w:color w:val="auto"/>
          <w:sz w:val="24"/>
          <w:szCs w:val="28"/>
        </w:rPr>
      </w:pPr>
      <w:r>
        <w:rPr>
          <w:rFonts w:hint="eastAsia" w:ascii="宋体" w:hAnsi="宋体" w:cs="宋体"/>
          <w:color w:val="auto"/>
          <w:sz w:val="24"/>
          <w:szCs w:val="28"/>
        </w:rPr>
        <w:t>1、维保维护：</w:t>
      </w:r>
      <w:r>
        <w:rPr>
          <w:rFonts w:hint="eastAsia" w:ascii="宋体" w:hAnsi="宋体" w:cs="宋体"/>
          <w:color w:val="auto"/>
          <w:sz w:val="24"/>
          <w:szCs w:val="24"/>
        </w:rPr>
        <w:t>日常</w:t>
      </w:r>
      <w:r>
        <w:rPr>
          <w:rFonts w:hint="eastAsia" w:ascii="宋体" w:hAnsi="宋体" w:cs="宋体"/>
          <w:color w:val="auto"/>
          <w:sz w:val="24"/>
          <w:szCs w:val="28"/>
        </w:rPr>
        <w:t>对3条内镜常规的检查维护，以及内镜出现故障时的维修维护。</w:t>
      </w:r>
    </w:p>
    <w:p w14:paraId="41085BB3">
      <w:pPr>
        <w:spacing w:line="400" w:lineRule="exact"/>
        <w:ind w:firstLine="480" w:firstLineChars="200"/>
        <w:outlineLvl w:val="2"/>
        <w:rPr>
          <w:rFonts w:ascii="宋体" w:hAnsi="宋体" w:cs="宋体"/>
          <w:color w:val="auto"/>
          <w:sz w:val="24"/>
          <w:szCs w:val="28"/>
        </w:rPr>
      </w:pPr>
      <w:r>
        <w:rPr>
          <w:rFonts w:hint="eastAsia" w:ascii="宋体" w:hAnsi="宋体" w:cs="宋体"/>
          <w:color w:val="auto"/>
          <w:sz w:val="24"/>
          <w:szCs w:val="28"/>
        </w:rPr>
        <w:t>2、临床条件调试：能根据科室要求，专业人员到院调试设备达预设条件；</w:t>
      </w:r>
    </w:p>
    <w:p w14:paraId="42806577">
      <w:pPr>
        <w:spacing w:line="400" w:lineRule="exact"/>
        <w:ind w:firstLine="480" w:firstLineChars="200"/>
        <w:outlineLvl w:val="2"/>
        <w:rPr>
          <w:rFonts w:ascii="宋体" w:hAnsi="宋体" w:cs="宋体"/>
          <w:color w:val="auto"/>
          <w:sz w:val="24"/>
          <w:szCs w:val="28"/>
        </w:rPr>
      </w:pPr>
      <w:r>
        <w:rPr>
          <w:rFonts w:hint="eastAsia" w:ascii="宋体" w:hAnsi="宋体" w:cs="宋体"/>
          <w:color w:val="auto"/>
          <w:sz w:val="24"/>
          <w:szCs w:val="28"/>
        </w:rPr>
        <w:t>3、维修质量保障：对出现故障的内镜维修后，质量应达到奥林巴斯290系列内镜的正常使用水平，达到国家质量标准，保证设备正常运行。质量要求包括但不限于：白光和染色图像的清晰、角度扭的到位、送气、送水功能正常，活检管道的通畅与完整、内镜无漏气漏水、内镜外皮无破损等。</w:t>
      </w:r>
    </w:p>
    <w:p w14:paraId="27C4EBC6">
      <w:pPr>
        <w:spacing w:line="400" w:lineRule="exact"/>
        <w:ind w:firstLine="480" w:firstLineChars="200"/>
        <w:outlineLvl w:val="2"/>
        <w:rPr>
          <w:rFonts w:ascii="宋体" w:hAnsi="宋体" w:cs="宋体"/>
          <w:color w:val="auto"/>
          <w:sz w:val="24"/>
          <w:szCs w:val="28"/>
        </w:rPr>
      </w:pPr>
      <w:r>
        <w:rPr>
          <w:rFonts w:hint="eastAsia" w:ascii="宋体" w:hAnsi="宋体" w:cs="宋体"/>
          <w:color w:val="auto"/>
          <w:sz w:val="24"/>
          <w:szCs w:val="28"/>
        </w:rPr>
        <w:t>若所保设备未达到以上要求而造成内镜无法正常使用，将给予采购人双倍补偿，即每停用超出一个工作日，维修服务合同期限自动延长两个工作日（费用包含在本次投标报价中）。</w:t>
      </w:r>
    </w:p>
    <w:p w14:paraId="06372084">
      <w:pPr>
        <w:spacing w:line="400" w:lineRule="exact"/>
        <w:ind w:firstLine="480" w:firstLineChars="200"/>
        <w:outlineLvl w:val="2"/>
        <w:rPr>
          <w:rFonts w:ascii="宋体" w:hAnsi="宋体" w:cs="宋体"/>
          <w:color w:val="auto"/>
          <w:sz w:val="24"/>
          <w:szCs w:val="28"/>
        </w:rPr>
      </w:pPr>
      <w:r>
        <w:rPr>
          <w:rFonts w:hint="eastAsia" w:ascii="宋体" w:hAnsi="宋体" w:cs="宋体"/>
          <w:color w:val="auto"/>
          <w:sz w:val="24"/>
          <w:szCs w:val="28"/>
        </w:rPr>
        <w:t>4. 在内镜因维修保障而离开医院期间，应提供相应的满足临床需要的替换内镜，直至维保后内镜在科室内正常使用为止。</w:t>
      </w:r>
    </w:p>
    <w:p w14:paraId="0FD5E0B9">
      <w:pPr>
        <w:spacing w:line="400" w:lineRule="exact"/>
        <w:ind w:firstLine="480" w:firstLineChars="200"/>
        <w:outlineLvl w:val="2"/>
        <w:rPr>
          <w:rFonts w:ascii="宋体" w:hAnsi="宋体" w:cs="宋体"/>
          <w:color w:val="auto"/>
          <w:sz w:val="24"/>
          <w:szCs w:val="28"/>
        </w:rPr>
      </w:pPr>
      <w:r>
        <w:rPr>
          <w:rFonts w:hint="eastAsia" w:ascii="宋体" w:hAnsi="宋体" w:cs="宋体"/>
          <w:color w:val="auto"/>
          <w:sz w:val="24"/>
          <w:szCs w:val="28"/>
        </w:rPr>
        <w:t>5、响应时间：在收到报修电话后1天内响应（响应时间指使用各种可能的手段或方式开始排除医疗设备故障的时间）。</w:t>
      </w:r>
    </w:p>
    <w:p w14:paraId="16F92CF6">
      <w:pPr>
        <w:spacing w:line="400" w:lineRule="exact"/>
        <w:ind w:firstLine="480" w:firstLineChars="200"/>
        <w:outlineLvl w:val="2"/>
        <w:rPr>
          <w:rFonts w:ascii="宋体" w:hAnsi="宋体" w:cs="宋体"/>
          <w:color w:val="auto"/>
          <w:sz w:val="24"/>
          <w:szCs w:val="28"/>
        </w:rPr>
      </w:pPr>
      <w:r>
        <w:rPr>
          <w:rFonts w:hint="eastAsia" w:ascii="宋体" w:hAnsi="宋体" w:cs="宋体"/>
          <w:color w:val="auto"/>
          <w:sz w:val="24"/>
          <w:szCs w:val="28"/>
        </w:rPr>
        <w:t>6、现场维修时间：收到报修通知后，工程师24小时之内到达现场。</w:t>
      </w:r>
    </w:p>
    <w:p w14:paraId="32B0DB54">
      <w:pPr>
        <w:spacing w:line="400" w:lineRule="exact"/>
        <w:ind w:firstLine="240" w:firstLineChars="100"/>
        <w:outlineLvl w:val="2"/>
        <w:rPr>
          <w:rFonts w:ascii="宋体" w:hAnsi="宋体" w:cs="宋体"/>
          <w:color w:val="auto"/>
          <w:sz w:val="24"/>
          <w:szCs w:val="28"/>
        </w:rPr>
      </w:pPr>
      <w:r>
        <w:rPr>
          <w:rFonts w:hint="eastAsia" w:ascii="宋体" w:hAnsi="宋体" w:cs="宋体"/>
          <w:color w:val="auto"/>
          <w:sz w:val="24"/>
          <w:szCs w:val="28"/>
        </w:rPr>
        <w:t>7、维保服务合同期内，服务范围内涉及的所有配件（整机所有原厂配件及保养耗材）更换均不再额外收费；内镜完成维修后，旧配件由</w:t>
      </w:r>
      <w:r>
        <w:rPr>
          <w:rFonts w:hint="eastAsia" w:ascii="宋体" w:hAnsi="宋体" w:cs="宋体"/>
          <w:color w:val="auto"/>
          <w:sz w:val="24"/>
          <w:szCs w:val="28"/>
          <w:lang w:eastAsia="zh-CN"/>
        </w:rPr>
        <w:t>响应人</w:t>
      </w:r>
      <w:r>
        <w:rPr>
          <w:rFonts w:hint="eastAsia" w:ascii="宋体" w:hAnsi="宋体" w:cs="宋体"/>
          <w:color w:val="auto"/>
          <w:sz w:val="24"/>
          <w:szCs w:val="28"/>
        </w:rPr>
        <w:t>回收。</w:t>
      </w:r>
    </w:p>
    <w:p w14:paraId="0A8D3301">
      <w:pPr>
        <w:pStyle w:val="2"/>
        <w:spacing w:line="400" w:lineRule="exact"/>
        <w:ind w:firstLine="480" w:firstLineChars="200"/>
        <w:rPr>
          <w:rFonts w:ascii="宋体" w:hAnsi="宋体" w:eastAsia="宋体" w:cs="宋体"/>
          <w:color w:val="auto"/>
          <w:sz w:val="24"/>
          <w:szCs w:val="28"/>
        </w:rPr>
      </w:pPr>
      <w:r>
        <w:rPr>
          <w:rFonts w:hint="eastAsia" w:ascii="宋体" w:hAnsi="宋体" w:eastAsia="宋体" w:cs="宋体"/>
          <w:color w:val="auto"/>
          <w:sz w:val="24"/>
          <w:szCs w:val="28"/>
          <w:lang w:eastAsia="zh-CN"/>
        </w:rPr>
        <w:t>响应人</w:t>
      </w:r>
      <w:r>
        <w:rPr>
          <w:rFonts w:hint="eastAsia" w:ascii="宋体" w:hAnsi="宋体" w:eastAsia="宋体" w:cs="宋体"/>
          <w:color w:val="auto"/>
          <w:sz w:val="24"/>
          <w:szCs w:val="28"/>
        </w:rPr>
        <w:t>须</w:t>
      </w:r>
      <w:r>
        <w:rPr>
          <w:rFonts w:ascii="宋体" w:hAnsi="宋体" w:eastAsia="宋体" w:cs="宋体"/>
          <w:color w:val="auto"/>
          <w:sz w:val="24"/>
          <w:szCs w:val="28"/>
        </w:rPr>
        <w:t>承诺提供</w:t>
      </w:r>
      <w:r>
        <w:rPr>
          <w:rFonts w:hint="eastAsia" w:ascii="宋体" w:hAnsi="宋体" w:eastAsia="宋体" w:cs="宋体"/>
          <w:color w:val="auto"/>
          <w:sz w:val="24"/>
          <w:szCs w:val="28"/>
        </w:rPr>
        <w:t>维保服务过程中使用</w:t>
      </w:r>
      <w:r>
        <w:rPr>
          <w:rFonts w:ascii="宋体" w:hAnsi="宋体" w:eastAsia="宋体" w:cs="宋体"/>
          <w:color w:val="auto"/>
          <w:sz w:val="24"/>
          <w:szCs w:val="28"/>
        </w:rPr>
        <w:t>全新原厂合格备</w:t>
      </w:r>
      <w:r>
        <w:rPr>
          <w:rFonts w:hint="eastAsia" w:ascii="宋体" w:hAnsi="宋体" w:eastAsia="宋体" w:cs="宋体"/>
          <w:color w:val="auto"/>
          <w:sz w:val="24"/>
          <w:szCs w:val="28"/>
        </w:rPr>
        <w:t>件，其序列号清晰可见且可查询，满足设备运行要求（提供承诺函并加盖</w:t>
      </w:r>
      <w:r>
        <w:rPr>
          <w:rFonts w:hint="eastAsia" w:ascii="宋体" w:hAnsi="宋体" w:eastAsia="宋体" w:cs="宋体"/>
          <w:color w:val="auto"/>
          <w:sz w:val="24"/>
          <w:szCs w:val="28"/>
          <w:lang w:eastAsia="zh-CN"/>
        </w:rPr>
        <w:t>响应人</w:t>
      </w:r>
      <w:r>
        <w:rPr>
          <w:rFonts w:hint="eastAsia" w:ascii="宋体" w:hAnsi="宋体" w:eastAsia="宋体" w:cs="宋体"/>
          <w:color w:val="auto"/>
          <w:sz w:val="24"/>
          <w:szCs w:val="28"/>
        </w:rPr>
        <w:t>公章）</w:t>
      </w:r>
    </w:p>
    <w:p w14:paraId="2E5C297D">
      <w:pPr>
        <w:numPr>
          <w:ilvl w:val="0"/>
          <w:numId w:val="1"/>
        </w:numPr>
        <w:spacing w:line="400" w:lineRule="exact"/>
        <w:ind w:firstLine="240" w:firstLineChars="100"/>
        <w:outlineLvl w:val="2"/>
        <w:rPr>
          <w:rFonts w:ascii="宋体" w:hAnsi="宋体" w:cs="宋体"/>
          <w:color w:val="auto"/>
          <w:sz w:val="24"/>
          <w:szCs w:val="28"/>
        </w:rPr>
      </w:pPr>
      <w:r>
        <w:rPr>
          <w:rFonts w:hint="eastAsia" w:ascii="宋体" w:hAnsi="宋体" w:cs="宋体"/>
          <w:color w:val="auto"/>
          <w:sz w:val="24"/>
          <w:szCs w:val="28"/>
        </w:rPr>
        <w:t>维修人员要求：本项目的维修人员至少两名。</w:t>
      </w:r>
    </w:p>
    <w:p w14:paraId="54572DF1">
      <w:pPr>
        <w:numPr>
          <w:ilvl w:val="0"/>
          <w:numId w:val="1"/>
        </w:numPr>
        <w:spacing w:line="400" w:lineRule="exact"/>
        <w:ind w:firstLine="240" w:firstLineChars="100"/>
        <w:outlineLvl w:val="2"/>
        <w:rPr>
          <w:rFonts w:ascii="宋体" w:hAnsi="宋体" w:cs="宋体"/>
          <w:color w:val="auto"/>
          <w:sz w:val="24"/>
          <w:szCs w:val="28"/>
        </w:rPr>
      </w:pPr>
      <w:r>
        <w:rPr>
          <w:rFonts w:hint="eastAsia" w:ascii="宋体" w:hAnsi="宋体" w:cs="宋体"/>
          <w:color w:val="auto"/>
          <w:sz w:val="24"/>
          <w:szCs w:val="28"/>
        </w:rPr>
        <w:t>服务报告：维修完成后提供维修服务报告。</w:t>
      </w:r>
    </w:p>
    <w:p w14:paraId="25B1FA35">
      <w:pPr>
        <w:pStyle w:val="4"/>
        <w:spacing w:line="400" w:lineRule="exact"/>
        <w:jc w:val="left"/>
        <w:rPr>
          <w:rFonts w:cs="宋体"/>
          <w:color w:val="auto"/>
          <w:highlight w:val="yellow"/>
        </w:rPr>
      </w:pPr>
      <w:r>
        <w:rPr>
          <w:rFonts w:hint="eastAsia" w:cs="宋体"/>
          <w:b/>
          <w:color w:val="auto"/>
          <w:sz w:val="24"/>
        </w:rPr>
        <w:t>五、</w:t>
      </w:r>
      <w:r>
        <w:rPr>
          <w:rFonts w:hint="eastAsia" w:cs="宋体"/>
          <w:b/>
          <w:color w:val="auto"/>
          <w:sz w:val="24"/>
          <w:lang w:eastAsia="zh-CN"/>
        </w:rPr>
        <w:t>采购</w:t>
      </w:r>
      <w:r>
        <w:rPr>
          <w:rFonts w:hint="eastAsia" w:cs="宋体"/>
          <w:b/>
          <w:color w:val="auto"/>
          <w:sz w:val="24"/>
        </w:rPr>
        <w:t>项目商务要求</w:t>
      </w:r>
    </w:p>
    <w:p w14:paraId="7F5F6B60">
      <w:pPr>
        <w:pStyle w:val="4"/>
        <w:spacing w:line="400" w:lineRule="exact"/>
        <w:jc w:val="left"/>
        <w:rPr>
          <w:rFonts w:cs="宋体"/>
          <w:bCs/>
          <w:color w:val="auto"/>
          <w:sz w:val="24"/>
        </w:rPr>
      </w:pPr>
      <w:bookmarkStart w:id="9" w:name="_Toc18856"/>
      <w:r>
        <w:rPr>
          <w:rFonts w:hint="eastAsia" w:cs="宋体"/>
          <w:bCs/>
          <w:color w:val="auto"/>
          <w:sz w:val="24"/>
        </w:rPr>
        <w:t>（一）服务期、服务地点及验收方式</w:t>
      </w:r>
      <w:bookmarkEnd w:id="9"/>
    </w:p>
    <w:p w14:paraId="41445382">
      <w:pPr>
        <w:snapToGrid w:val="0"/>
        <w:spacing w:line="400" w:lineRule="exact"/>
        <w:ind w:firstLine="240" w:firstLineChars="100"/>
        <w:outlineLvl w:val="2"/>
        <w:rPr>
          <w:rFonts w:ascii="宋体" w:hAnsi="宋体" w:cs="宋体"/>
          <w:bCs/>
          <w:color w:val="auto"/>
          <w:kern w:val="0"/>
          <w:sz w:val="24"/>
          <w:szCs w:val="24"/>
        </w:rPr>
      </w:pPr>
      <w:r>
        <w:rPr>
          <w:rFonts w:hint="eastAsia" w:ascii="宋体" w:hAnsi="宋体" w:cs="宋体"/>
          <w:bCs/>
          <w:color w:val="auto"/>
          <w:kern w:val="0"/>
          <w:sz w:val="24"/>
          <w:szCs w:val="24"/>
        </w:rPr>
        <w:t>1.服务期：采购合同签订后服务3年。</w:t>
      </w:r>
      <w:bookmarkStart w:id="10" w:name="_Toc16942"/>
      <w:bookmarkStart w:id="11" w:name="_Toc76387239"/>
      <w:bookmarkStart w:id="12" w:name="_Toc267320050"/>
    </w:p>
    <w:p w14:paraId="0897F23E">
      <w:pPr>
        <w:snapToGrid w:val="0"/>
        <w:spacing w:line="400" w:lineRule="exact"/>
        <w:ind w:firstLine="240" w:firstLineChars="100"/>
        <w:outlineLvl w:val="2"/>
        <w:rPr>
          <w:rFonts w:ascii="宋体" w:hAnsi="宋体" w:cs="宋体"/>
          <w:bCs/>
          <w:color w:val="auto"/>
          <w:kern w:val="0"/>
          <w:sz w:val="24"/>
          <w:szCs w:val="24"/>
        </w:rPr>
      </w:pPr>
      <w:r>
        <w:rPr>
          <w:rFonts w:hint="eastAsia" w:ascii="宋体" w:hAnsi="宋体" w:cs="宋体"/>
          <w:bCs/>
          <w:color w:val="auto"/>
          <w:kern w:val="0"/>
          <w:sz w:val="24"/>
          <w:szCs w:val="24"/>
        </w:rPr>
        <w:t>2.服务地点：重庆市渝中区枇杷山正街104号。</w:t>
      </w:r>
    </w:p>
    <w:p w14:paraId="1BB6F067">
      <w:pPr>
        <w:snapToGrid w:val="0"/>
        <w:spacing w:line="400" w:lineRule="exact"/>
        <w:ind w:firstLine="240" w:firstLineChars="100"/>
        <w:outlineLvl w:val="2"/>
        <w:rPr>
          <w:rFonts w:ascii="宋体" w:hAnsi="宋体" w:cs="宋体"/>
          <w:bCs/>
          <w:color w:val="auto"/>
          <w:kern w:val="0"/>
          <w:sz w:val="24"/>
          <w:szCs w:val="24"/>
        </w:rPr>
      </w:pPr>
      <w:r>
        <w:rPr>
          <w:rFonts w:hint="eastAsia" w:ascii="宋体" w:hAnsi="宋体" w:cs="宋体"/>
          <w:bCs/>
          <w:color w:val="auto"/>
          <w:kern w:val="0"/>
          <w:sz w:val="24"/>
          <w:szCs w:val="24"/>
        </w:rPr>
        <w:t>3.验收方式：</w:t>
      </w:r>
    </w:p>
    <w:p w14:paraId="5DF8FC32">
      <w:pPr>
        <w:snapToGrid w:val="0"/>
        <w:spacing w:line="400" w:lineRule="exact"/>
        <w:ind w:firstLine="480" w:firstLineChars="200"/>
        <w:outlineLvl w:val="2"/>
        <w:rPr>
          <w:rFonts w:ascii="宋体" w:hAnsi="宋体" w:cs="宋体"/>
          <w:bCs/>
          <w:color w:val="auto"/>
          <w:kern w:val="0"/>
          <w:sz w:val="24"/>
          <w:szCs w:val="24"/>
        </w:rPr>
      </w:pPr>
      <w:r>
        <w:rPr>
          <w:rFonts w:hint="eastAsia" w:ascii="宋体" w:hAnsi="宋体" w:cs="宋体"/>
          <w:bCs/>
          <w:color w:val="auto"/>
          <w:kern w:val="0"/>
          <w:sz w:val="24"/>
          <w:szCs w:val="24"/>
        </w:rPr>
        <w:t>3.1每次维修或预防性保养后，均须由采购人和中标人双方工程师及采购人使用科室设备管理人员签字确认验收合格，并向采购人提供检修或维护保养报告存档。</w:t>
      </w:r>
    </w:p>
    <w:p w14:paraId="2772F729">
      <w:pPr>
        <w:snapToGrid w:val="0"/>
        <w:spacing w:line="400" w:lineRule="exact"/>
        <w:ind w:firstLine="480" w:firstLineChars="200"/>
        <w:outlineLvl w:val="2"/>
        <w:rPr>
          <w:rFonts w:ascii="宋体" w:hAnsi="宋体" w:cs="宋体"/>
          <w:bCs/>
          <w:color w:val="auto"/>
          <w:kern w:val="0"/>
          <w:sz w:val="24"/>
          <w:szCs w:val="24"/>
        </w:rPr>
      </w:pPr>
      <w:r>
        <w:rPr>
          <w:rFonts w:hint="eastAsia" w:ascii="宋体" w:hAnsi="宋体" w:cs="宋体"/>
          <w:bCs/>
          <w:color w:val="auto"/>
          <w:kern w:val="0"/>
          <w:sz w:val="24"/>
          <w:szCs w:val="24"/>
        </w:rPr>
        <w:t>3.2合同有效期内，采购人每年均有权对中标人合同履行能力、产品质量、售后服务等进行确认，中标人有义务配合采购人进行合同确认工作。若确认合格，合同继续履行;若确认不合格，中标人有义务配合采购人整改，若整改后仍不合格，采购人有权解除合同且无须承担违约责任。</w:t>
      </w:r>
    </w:p>
    <w:p w14:paraId="4B08E5FC">
      <w:pPr>
        <w:pStyle w:val="4"/>
        <w:spacing w:line="400" w:lineRule="exact"/>
        <w:jc w:val="left"/>
        <w:rPr>
          <w:rFonts w:cs="宋体"/>
          <w:bCs/>
          <w:color w:val="auto"/>
          <w:sz w:val="24"/>
        </w:rPr>
      </w:pPr>
      <w:bookmarkStart w:id="13" w:name="_Toc29313"/>
      <w:r>
        <w:rPr>
          <w:rFonts w:hint="eastAsia" w:cs="宋体"/>
          <w:bCs/>
          <w:color w:val="auto"/>
          <w:sz w:val="24"/>
        </w:rPr>
        <w:t>（二）报价要求</w:t>
      </w:r>
      <w:bookmarkEnd w:id="10"/>
      <w:bookmarkEnd w:id="11"/>
      <w:bookmarkEnd w:id="13"/>
    </w:p>
    <w:p w14:paraId="3573BE21">
      <w:pPr>
        <w:snapToGrid w:val="0"/>
        <w:spacing w:line="400" w:lineRule="exact"/>
        <w:ind w:firstLine="480" w:firstLineChars="200"/>
        <w:outlineLvl w:val="2"/>
        <w:rPr>
          <w:rFonts w:ascii="宋体" w:hAnsi="宋体" w:cs="宋体"/>
          <w:bCs/>
          <w:color w:val="auto"/>
          <w:kern w:val="0"/>
          <w:sz w:val="24"/>
          <w:szCs w:val="24"/>
        </w:rPr>
      </w:pPr>
      <w:r>
        <w:rPr>
          <w:rFonts w:hint="eastAsia" w:ascii="宋体" w:hAnsi="宋体" w:cs="宋体"/>
          <w:bCs/>
          <w:color w:val="auto"/>
          <w:kern w:val="0"/>
          <w:sz w:val="24"/>
          <w:szCs w:val="24"/>
        </w:rPr>
        <w:t>本次报价须为人民币报价，包括人工费、材料费、运输费、保险费、培训费、税费等完成本项目服务内容的所有费用。因</w:t>
      </w:r>
      <w:r>
        <w:rPr>
          <w:rFonts w:hint="eastAsia" w:ascii="宋体" w:hAnsi="宋体" w:cs="宋体"/>
          <w:bCs/>
          <w:color w:val="auto"/>
          <w:kern w:val="0"/>
          <w:sz w:val="24"/>
          <w:szCs w:val="24"/>
          <w:lang w:eastAsia="zh-CN"/>
        </w:rPr>
        <w:t>响应人</w:t>
      </w:r>
      <w:r>
        <w:rPr>
          <w:rFonts w:hint="eastAsia" w:ascii="宋体" w:hAnsi="宋体" w:cs="宋体"/>
          <w:bCs/>
          <w:color w:val="auto"/>
          <w:kern w:val="0"/>
          <w:sz w:val="24"/>
          <w:szCs w:val="24"/>
        </w:rPr>
        <w:t>自身原因造成漏报、少报皆由其自行承担责任，采购人不再补偿。</w:t>
      </w:r>
    </w:p>
    <w:bookmarkEnd w:id="12"/>
    <w:p w14:paraId="46893412">
      <w:pPr>
        <w:pStyle w:val="4"/>
        <w:spacing w:line="400" w:lineRule="exact"/>
        <w:jc w:val="left"/>
        <w:rPr>
          <w:rFonts w:cs="宋体"/>
          <w:bCs/>
          <w:color w:val="auto"/>
          <w:sz w:val="24"/>
        </w:rPr>
      </w:pPr>
      <w:bookmarkStart w:id="14" w:name="_Toc267320051"/>
      <w:bookmarkStart w:id="15" w:name="_Toc15686"/>
      <w:bookmarkStart w:id="16" w:name="_Toc27899"/>
      <w:bookmarkStart w:id="17" w:name="_Toc76387240"/>
      <w:r>
        <w:rPr>
          <w:rFonts w:hint="eastAsia" w:cs="宋体"/>
          <w:bCs/>
          <w:color w:val="auto"/>
          <w:sz w:val="24"/>
        </w:rPr>
        <w:t>（三）付款方式</w:t>
      </w:r>
      <w:bookmarkEnd w:id="14"/>
      <w:bookmarkEnd w:id="15"/>
      <w:bookmarkEnd w:id="16"/>
      <w:bookmarkEnd w:id="17"/>
    </w:p>
    <w:p w14:paraId="68810D41">
      <w:pPr>
        <w:adjustRightInd w:val="0"/>
        <w:snapToGrid w:val="0"/>
        <w:spacing w:line="400" w:lineRule="exact"/>
        <w:ind w:firstLine="480" w:firstLineChars="200"/>
        <w:rPr>
          <w:rFonts w:ascii="宋体" w:hAnsi="宋体" w:cs="宋体"/>
          <w:bCs/>
          <w:color w:val="auto"/>
          <w:kern w:val="0"/>
          <w:sz w:val="24"/>
          <w:szCs w:val="24"/>
        </w:rPr>
      </w:pPr>
      <w:r>
        <w:rPr>
          <w:rFonts w:hint="eastAsia" w:ascii="宋体" w:hAnsi="宋体" w:cs="宋体"/>
          <w:bCs/>
          <w:color w:val="auto"/>
          <w:kern w:val="0"/>
          <w:sz w:val="24"/>
          <w:szCs w:val="24"/>
        </w:rPr>
        <w:t>合同期限为3年，维保费用以“先服务，后付款”的方式，按年度进行支付。服务期满1年，中标人完全履行合同义务且维修或预防性保养验收合格后，向采购人提交付款申请并开具年度服务费用金额的发票；采购人在收到发票后的5个工作日内，按程序办理支付手续。</w:t>
      </w:r>
    </w:p>
    <w:p w14:paraId="5AA89377">
      <w:pPr>
        <w:pStyle w:val="2"/>
        <w:spacing w:line="400" w:lineRule="exact"/>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在合同期间，因采购人原因（设备淘汰、停止使用等原因），经双方协商一致后可终止合同；采购人按实际保修天数结算费用（结算金额=中标金额/3年/365天*实际保修天数）。</w:t>
      </w:r>
    </w:p>
    <w:p w14:paraId="5BE9053B">
      <w:pPr>
        <w:pStyle w:val="4"/>
        <w:spacing w:line="400" w:lineRule="exact"/>
        <w:jc w:val="left"/>
        <w:rPr>
          <w:rFonts w:cs="宋体"/>
          <w:bCs/>
          <w:color w:val="auto"/>
          <w:sz w:val="24"/>
        </w:rPr>
      </w:pPr>
      <w:bookmarkStart w:id="18" w:name="_Toc14634"/>
      <w:r>
        <w:rPr>
          <w:rFonts w:hint="eastAsia" w:cs="宋体"/>
          <w:bCs/>
          <w:color w:val="auto"/>
          <w:sz w:val="24"/>
        </w:rPr>
        <w:t>（四）知识产权</w:t>
      </w:r>
      <w:bookmarkEnd w:id="18"/>
    </w:p>
    <w:p w14:paraId="69542BCC">
      <w:pPr>
        <w:adjustRightInd w:val="0"/>
        <w:snapToGrid w:val="0"/>
        <w:spacing w:line="400" w:lineRule="exact"/>
        <w:ind w:firstLine="480" w:firstLineChars="200"/>
        <w:rPr>
          <w:rFonts w:ascii="宋体" w:hAnsi="宋体" w:cs="宋体"/>
          <w:bCs/>
          <w:color w:val="auto"/>
          <w:kern w:val="0"/>
          <w:sz w:val="24"/>
          <w:szCs w:val="24"/>
        </w:rPr>
      </w:pPr>
      <w:r>
        <w:rPr>
          <w:rFonts w:hint="eastAsia" w:ascii="宋体" w:hAnsi="宋体" w:cs="宋体"/>
          <w:bCs/>
          <w:color w:val="auto"/>
          <w:kern w:val="0"/>
          <w:sz w:val="24"/>
          <w:szCs w:val="24"/>
        </w:rPr>
        <w:t>采购人在中华人民共和国境内使用</w:t>
      </w:r>
      <w:r>
        <w:rPr>
          <w:rFonts w:hint="eastAsia" w:ascii="宋体" w:hAnsi="宋体" w:cs="宋体"/>
          <w:bCs/>
          <w:color w:val="auto"/>
          <w:kern w:val="0"/>
          <w:sz w:val="24"/>
          <w:szCs w:val="24"/>
          <w:lang w:eastAsia="zh-CN"/>
        </w:rPr>
        <w:t>响应人</w:t>
      </w:r>
      <w:r>
        <w:rPr>
          <w:rFonts w:hint="eastAsia" w:ascii="宋体" w:hAnsi="宋体" w:cs="宋体"/>
          <w:bCs/>
          <w:color w:val="auto"/>
          <w:kern w:val="0"/>
          <w:sz w:val="24"/>
          <w:szCs w:val="24"/>
        </w:rPr>
        <w:t>提供的货物及服务时免受第三方提出的侵犯其专利权或其它知识产权的起诉。如果第三方提出侵权指控，</w:t>
      </w:r>
      <w:r>
        <w:rPr>
          <w:rFonts w:hint="eastAsia" w:ascii="宋体" w:hAnsi="宋体" w:cs="宋体"/>
          <w:bCs/>
          <w:color w:val="auto"/>
          <w:kern w:val="0"/>
          <w:sz w:val="24"/>
          <w:szCs w:val="24"/>
          <w:lang w:eastAsia="zh-CN"/>
        </w:rPr>
        <w:t>响应人</w:t>
      </w:r>
      <w:r>
        <w:rPr>
          <w:rFonts w:hint="eastAsia" w:ascii="宋体" w:hAnsi="宋体" w:cs="宋体"/>
          <w:bCs/>
          <w:color w:val="auto"/>
          <w:kern w:val="0"/>
          <w:sz w:val="24"/>
          <w:szCs w:val="24"/>
        </w:rPr>
        <w:t>应承担由此而引起的一切法律责任和费用。</w:t>
      </w:r>
    </w:p>
    <w:p w14:paraId="229CAB7A">
      <w:pPr>
        <w:pStyle w:val="4"/>
        <w:spacing w:line="400" w:lineRule="exact"/>
        <w:jc w:val="left"/>
        <w:rPr>
          <w:rFonts w:cs="宋体"/>
          <w:bCs/>
          <w:color w:val="auto"/>
          <w:sz w:val="24"/>
        </w:rPr>
      </w:pPr>
      <w:bookmarkStart w:id="19" w:name="_Toc31803"/>
      <w:bookmarkStart w:id="20" w:name="_Toc25464"/>
      <w:bookmarkStart w:id="21" w:name="_Toc106030390"/>
      <w:bookmarkStart w:id="22" w:name="_Toc15548"/>
      <w:bookmarkStart w:id="23" w:name="_Toc15159"/>
      <w:bookmarkStart w:id="24" w:name="_Toc7629"/>
      <w:bookmarkStart w:id="25" w:name="_Toc15760"/>
      <w:bookmarkStart w:id="26" w:name="_Toc75793514"/>
      <w:bookmarkStart w:id="27" w:name="_Toc3404"/>
      <w:bookmarkStart w:id="28" w:name="_Toc26926"/>
      <w:bookmarkStart w:id="29" w:name="_Toc4784"/>
      <w:bookmarkStart w:id="30" w:name="_Toc1949"/>
      <w:bookmarkStart w:id="31" w:name="_Toc3909"/>
      <w:bookmarkStart w:id="32" w:name="_Toc27637"/>
      <w:bookmarkStart w:id="33" w:name="_Toc18618"/>
      <w:bookmarkStart w:id="34" w:name="_Toc15109"/>
      <w:bookmarkStart w:id="35" w:name="_Toc4539"/>
      <w:bookmarkStart w:id="36" w:name="_Toc267320053"/>
      <w:bookmarkStart w:id="37" w:name="_Toc1026"/>
      <w:bookmarkStart w:id="38" w:name="_Toc14096"/>
      <w:bookmarkStart w:id="39" w:name="_Toc897"/>
      <w:bookmarkStart w:id="40" w:name="_Toc29615"/>
      <w:r>
        <w:rPr>
          <w:rFonts w:hint="eastAsia" w:cs="宋体"/>
          <w:bCs/>
          <w:color w:val="auto"/>
          <w:sz w:val="24"/>
        </w:rPr>
        <w:t>（五）培训</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2B4BCB7F">
      <w:pPr>
        <w:spacing w:line="400" w:lineRule="exact"/>
        <w:ind w:firstLine="480" w:firstLineChars="200"/>
        <w:rPr>
          <w:rFonts w:ascii="宋体" w:hAnsi="宋体" w:cs="宋体"/>
          <w:bCs/>
          <w:strike/>
          <w:color w:val="auto"/>
          <w:kern w:val="0"/>
          <w:sz w:val="24"/>
          <w:szCs w:val="24"/>
        </w:rPr>
      </w:pPr>
      <w:r>
        <w:rPr>
          <w:rFonts w:hint="eastAsia" w:ascii="宋体" w:hAnsi="宋体" w:cs="宋体"/>
          <w:bCs/>
          <w:color w:val="auto"/>
          <w:kern w:val="0"/>
          <w:sz w:val="24"/>
          <w:szCs w:val="24"/>
        </w:rPr>
        <w:t>设备现场人员培训：根据采购人需求到设备现场，对设备使用相关技术人员进行应用培训，使其熟练的使用该设备，并进行日常维护、保养和性能检测。</w:t>
      </w:r>
    </w:p>
    <w:p w14:paraId="49E3193B">
      <w:pPr>
        <w:pStyle w:val="4"/>
        <w:spacing w:line="400" w:lineRule="exact"/>
        <w:jc w:val="left"/>
        <w:rPr>
          <w:rFonts w:cs="宋体"/>
          <w:bCs/>
          <w:color w:val="auto"/>
          <w:sz w:val="24"/>
        </w:rPr>
      </w:pPr>
      <w:bookmarkStart w:id="41" w:name="_Toc16606"/>
      <w:r>
        <w:rPr>
          <w:rFonts w:hint="eastAsia" w:cs="宋体"/>
          <w:bCs/>
          <w:color w:val="auto"/>
          <w:sz w:val="24"/>
        </w:rPr>
        <w:t>（六）其他</w:t>
      </w:r>
      <w:bookmarkEnd w:id="41"/>
    </w:p>
    <w:p w14:paraId="22157B84">
      <w:pPr>
        <w:spacing w:line="400" w:lineRule="exact"/>
        <w:ind w:firstLine="480" w:firstLineChars="200"/>
        <w:rPr>
          <w:rFonts w:ascii="宋体" w:hAnsi="宋体" w:cs="宋体"/>
          <w:bCs/>
          <w:color w:val="auto"/>
          <w:kern w:val="0"/>
          <w:sz w:val="24"/>
          <w:szCs w:val="24"/>
        </w:rPr>
      </w:pPr>
      <w:r>
        <w:rPr>
          <w:rFonts w:hint="eastAsia" w:ascii="宋体" w:hAnsi="宋体" w:cs="宋体"/>
          <w:bCs/>
          <w:color w:val="auto"/>
          <w:kern w:val="0"/>
          <w:sz w:val="24"/>
          <w:szCs w:val="24"/>
        </w:rPr>
        <w:t>1.</w:t>
      </w:r>
      <w:r>
        <w:rPr>
          <w:rFonts w:hint="eastAsia" w:ascii="宋体" w:hAnsi="宋体" w:cs="宋体"/>
          <w:bCs/>
          <w:color w:val="auto"/>
          <w:kern w:val="0"/>
          <w:sz w:val="24"/>
          <w:szCs w:val="24"/>
          <w:lang w:eastAsia="zh-CN"/>
        </w:rPr>
        <w:t>响应人</w:t>
      </w:r>
      <w:r>
        <w:rPr>
          <w:rFonts w:hint="eastAsia" w:ascii="宋体" w:hAnsi="宋体" w:cs="宋体"/>
          <w:bCs/>
          <w:color w:val="auto"/>
          <w:kern w:val="0"/>
          <w:sz w:val="24"/>
          <w:szCs w:val="24"/>
        </w:rPr>
        <w:t>必须在投标文件中对以上条款和服务承诺明确列出，承诺内容必须达到本篇及</w:t>
      </w:r>
      <w:r>
        <w:rPr>
          <w:rFonts w:hint="eastAsia" w:ascii="宋体" w:hAnsi="宋体" w:cs="宋体"/>
          <w:bCs/>
          <w:color w:val="auto"/>
          <w:kern w:val="0"/>
          <w:sz w:val="24"/>
          <w:szCs w:val="24"/>
          <w:lang w:eastAsia="zh-CN"/>
        </w:rPr>
        <w:t>比选文件</w:t>
      </w:r>
      <w:r>
        <w:rPr>
          <w:rFonts w:hint="eastAsia" w:ascii="宋体" w:hAnsi="宋体" w:cs="宋体"/>
          <w:bCs/>
          <w:color w:val="auto"/>
          <w:kern w:val="0"/>
          <w:sz w:val="24"/>
          <w:szCs w:val="24"/>
        </w:rPr>
        <w:t>其他条款的要求。</w:t>
      </w:r>
    </w:p>
    <w:p w14:paraId="52DAB13B">
      <w:pPr>
        <w:spacing w:line="400" w:lineRule="exact"/>
        <w:ind w:firstLine="480" w:firstLineChars="200"/>
        <w:rPr>
          <w:rFonts w:ascii="宋体" w:hAnsi="宋体" w:cs="宋体"/>
          <w:bCs/>
          <w:color w:val="auto"/>
          <w:kern w:val="0"/>
          <w:sz w:val="24"/>
          <w:szCs w:val="24"/>
        </w:rPr>
      </w:pPr>
      <w:r>
        <w:rPr>
          <w:rFonts w:hint="eastAsia" w:ascii="宋体" w:hAnsi="宋体" w:cs="宋体"/>
          <w:bCs/>
          <w:color w:val="auto"/>
          <w:kern w:val="0"/>
          <w:sz w:val="24"/>
          <w:szCs w:val="24"/>
        </w:rPr>
        <w:t>2.其他未尽事宜由供需双方在合同中详细约定。</w:t>
      </w:r>
    </w:p>
    <w:p w14:paraId="109906C6">
      <w:pPr>
        <w:pStyle w:val="4"/>
        <w:spacing w:line="400" w:lineRule="exact"/>
        <w:jc w:val="left"/>
        <w:rPr>
          <w:rFonts w:cs="宋体"/>
          <w:bCs/>
          <w:color w:val="auto"/>
          <w:sz w:val="24"/>
        </w:rPr>
      </w:pPr>
      <w:bookmarkStart w:id="42" w:name="_Toc30821"/>
      <w:r>
        <w:rPr>
          <w:rFonts w:hint="eastAsia" w:cs="宋体"/>
          <w:bCs/>
          <w:color w:val="auto"/>
          <w:sz w:val="24"/>
        </w:rPr>
        <w:t>（七）劳动争议</w:t>
      </w:r>
      <w:bookmarkEnd w:id="42"/>
    </w:p>
    <w:p w14:paraId="57173244">
      <w:pPr>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中标人须遵守作业操作规程、安全规章制度及相关法律法规。在中标人制作及成果交付过程中，如发生工伤事故或财产损失的，或因中标人合同行为造成他人人身财产损害及权益受损的，由中标人承担责任；因中标人合同行为造成的各种行政处罚等一切责任和费用等，均由中标人自行承担。</w:t>
      </w:r>
    </w:p>
    <w:p w14:paraId="00E09C25">
      <w:pPr>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2.在中标人履约过程中、因中标人履约行为导致的任何纠纷或投诉、任何争议责任的调查确定及承担，均由中标人自行应对和负责。</w:t>
      </w:r>
    </w:p>
    <w:p w14:paraId="46C75DEF">
      <w:pPr>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3.中标人履约行为造成（包括但不限于）中标人人员工伤工亡及财产损失、造成采购人或第三人人身损害、财产损失或权益损失等，由中标人承担法律责任（民事责任、行政责任、刑事责任）。</w:t>
      </w:r>
    </w:p>
    <w:p w14:paraId="595D73F7">
      <w:pPr>
        <w:pStyle w:val="4"/>
        <w:spacing w:line="400" w:lineRule="exact"/>
        <w:jc w:val="left"/>
        <w:rPr>
          <w:rFonts w:cs="宋体"/>
          <w:bCs/>
          <w:color w:val="auto"/>
          <w:sz w:val="24"/>
        </w:rPr>
      </w:pPr>
      <w:bookmarkStart w:id="43" w:name="_Toc29870"/>
      <w:r>
        <w:rPr>
          <w:rFonts w:hint="eastAsia" w:cs="宋体"/>
          <w:bCs/>
          <w:color w:val="auto"/>
          <w:sz w:val="24"/>
        </w:rPr>
        <w:t>（八）违约责任</w:t>
      </w:r>
      <w:bookmarkEnd w:id="43"/>
    </w:p>
    <w:p w14:paraId="531C585D">
      <w:pPr>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中标人在采购活动中所作书面承诺、或提供的投标文件如有虚假不实内容，采购人有权在合同履行阶段单方解除合同（采购人不承担任何违约责任），并向行政主管部门如实汇报要求追究中标人法律责任，且中标人须向采购人偿还已支付的合同款项。</w:t>
      </w:r>
    </w:p>
    <w:p w14:paraId="2D83D81A">
      <w:pPr>
        <w:pStyle w:val="4"/>
        <w:spacing w:line="400" w:lineRule="exact"/>
        <w:jc w:val="left"/>
        <w:rPr>
          <w:rFonts w:cs="宋体"/>
          <w:b/>
          <w:color w:val="auto"/>
          <w:sz w:val="24"/>
        </w:rPr>
      </w:pPr>
      <w:r>
        <w:rPr>
          <w:rFonts w:hint="eastAsia" w:cs="宋体"/>
          <w:b/>
          <w:color w:val="auto"/>
          <w:sz w:val="24"/>
        </w:rPr>
        <w:t>六、评标方法</w:t>
      </w:r>
    </w:p>
    <w:p w14:paraId="72AFE8BD">
      <w:pPr>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（一）评标程序：确定开标定标会议时间后，邀请各递交了投标文件的</w:t>
      </w:r>
      <w:r>
        <w:rPr>
          <w:rFonts w:hint="eastAsia" w:ascii="宋体" w:hAnsi="宋体" w:cs="宋体"/>
          <w:color w:val="auto"/>
          <w:sz w:val="24"/>
          <w:szCs w:val="24"/>
          <w:lang w:eastAsia="zh-CN"/>
        </w:rPr>
        <w:t>响应人</w:t>
      </w:r>
      <w:r>
        <w:rPr>
          <w:rFonts w:hint="eastAsia" w:ascii="宋体" w:hAnsi="宋体" w:cs="宋体"/>
          <w:color w:val="auto"/>
          <w:sz w:val="24"/>
          <w:szCs w:val="24"/>
        </w:rPr>
        <w:t>参加，</w:t>
      </w:r>
      <w:r>
        <w:rPr>
          <w:rFonts w:hint="eastAsia" w:ascii="宋体" w:hAnsi="宋体" w:cs="宋体"/>
          <w:color w:val="auto"/>
          <w:sz w:val="24"/>
          <w:szCs w:val="24"/>
          <w:lang w:eastAsia="zh-CN"/>
        </w:rPr>
        <w:t>采购人</w:t>
      </w:r>
      <w:r>
        <w:rPr>
          <w:rFonts w:hint="eastAsia" w:ascii="宋体" w:hAnsi="宋体" w:cs="宋体"/>
          <w:color w:val="auto"/>
          <w:sz w:val="24"/>
          <w:szCs w:val="24"/>
        </w:rPr>
        <w:t>采购工作组开标、评标及定标。</w:t>
      </w:r>
    </w:p>
    <w:p w14:paraId="61807FD0">
      <w:pPr>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（二）评标方法：最低评标价法。</w:t>
      </w:r>
    </w:p>
    <w:p w14:paraId="19B430CC">
      <w:pPr>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eastAsia="zh-CN"/>
        </w:rPr>
        <w:t>响应人</w:t>
      </w:r>
      <w:r>
        <w:rPr>
          <w:rFonts w:hint="eastAsia" w:ascii="宋体" w:hAnsi="宋体" w:cs="宋体"/>
          <w:color w:val="auto"/>
          <w:sz w:val="24"/>
          <w:szCs w:val="24"/>
        </w:rPr>
        <w:t>实质性响应《</w:t>
      </w:r>
      <w:r>
        <w:rPr>
          <w:rFonts w:hint="eastAsia" w:ascii="宋体" w:hAnsi="宋体" w:cs="宋体"/>
          <w:color w:val="auto"/>
          <w:sz w:val="24"/>
          <w:szCs w:val="24"/>
          <w:lang w:eastAsia="zh-CN"/>
        </w:rPr>
        <w:t>院内公开比选</w:t>
      </w:r>
      <w:r>
        <w:rPr>
          <w:rFonts w:hint="eastAsia" w:ascii="宋体" w:hAnsi="宋体" w:cs="宋体"/>
          <w:color w:val="auto"/>
          <w:sz w:val="24"/>
          <w:szCs w:val="24"/>
        </w:rPr>
        <w:t>（最低评标价法）文件》，竞价产品（或服务）完全符合</w:t>
      </w:r>
      <w:r>
        <w:rPr>
          <w:rFonts w:hint="eastAsia" w:ascii="宋体" w:hAnsi="宋体" w:cs="宋体"/>
          <w:color w:val="auto"/>
          <w:sz w:val="24"/>
          <w:szCs w:val="24"/>
          <w:lang w:eastAsia="zh-CN"/>
        </w:rPr>
        <w:t>比选文件</w:t>
      </w:r>
      <w:r>
        <w:rPr>
          <w:rFonts w:hint="eastAsia" w:ascii="宋体" w:hAnsi="宋体" w:cs="宋体"/>
          <w:color w:val="auto"/>
          <w:sz w:val="24"/>
          <w:szCs w:val="24"/>
        </w:rPr>
        <w:t>技术参数（或服务需求）和商务要求；否则，丧失中标资格。</w:t>
      </w:r>
    </w:p>
    <w:p w14:paraId="30C0BA9B">
      <w:pPr>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eastAsia="zh-CN"/>
        </w:rPr>
        <w:t>响应人</w:t>
      </w:r>
      <w:r>
        <w:rPr>
          <w:rFonts w:hint="eastAsia" w:ascii="宋体" w:hAnsi="宋体" w:cs="宋体"/>
          <w:color w:val="auto"/>
          <w:sz w:val="24"/>
          <w:szCs w:val="24"/>
        </w:rPr>
        <w:t>的报价分为两次报价，均不得超过最高限价；否则，丧失中标资格。第一次报价制作在投标文件里向</w:t>
      </w:r>
      <w:r>
        <w:rPr>
          <w:rFonts w:hint="eastAsia" w:ascii="宋体" w:hAnsi="宋体" w:cs="宋体"/>
          <w:color w:val="auto"/>
          <w:sz w:val="24"/>
          <w:szCs w:val="24"/>
          <w:lang w:eastAsia="zh-CN"/>
        </w:rPr>
        <w:t>采购人</w:t>
      </w:r>
      <w:r>
        <w:rPr>
          <w:rFonts w:hint="eastAsia" w:ascii="宋体" w:hAnsi="宋体" w:cs="宋体"/>
          <w:color w:val="auto"/>
          <w:sz w:val="24"/>
          <w:szCs w:val="24"/>
        </w:rPr>
        <w:t>递交；第二次报价是在开标现场向</w:t>
      </w:r>
      <w:r>
        <w:rPr>
          <w:rFonts w:hint="eastAsia" w:ascii="宋体" w:hAnsi="宋体" w:cs="宋体"/>
          <w:color w:val="auto"/>
          <w:sz w:val="24"/>
          <w:szCs w:val="24"/>
          <w:lang w:eastAsia="zh-CN"/>
        </w:rPr>
        <w:t>采购人</w:t>
      </w:r>
      <w:r>
        <w:rPr>
          <w:rFonts w:hint="eastAsia" w:ascii="宋体" w:hAnsi="宋体" w:cs="宋体"/>
          <w:color w:val="auto"/>
          <w:sz w:val="24"/>
          <w:szCs w:val="24"/>
        </w:rPr>
        <w:t>采购工作组进行优化的差异性表述后，当场在</w:t>
      </w:r>
      <w:r>
        <w:rPr>
          <w:rFonts w:hint="eastAsia" w:ascii="宋体" w:hAnsi="宋体" w:cs="宋体"/>
          <w:color w:val="auto"/>
          <w:sz w:val="24"/>
          <w:szCs w:val="24"/>
          <w:lang w:eastAsia="zh-CN"/>
        </w:rPr>
        <w:t>采购人</w:t>
      </w:r>
      <w:r>
        <w:rPr>
          <w:rFonts w:hint="eastAsia" w:ascii="宋体" w:hAnsi="宋体" w:cs="宋体"/>
          <w:color w:val="auto"/>
          <w:sz w:val="24"/>
          <w:szCs w:val="24"/>
        </w:rPr>
        <w:t>准备的“第二次报价单”上填写本项目的最终报价（第二次报价的价格，只能等于或低于第一次报价的价格，否则，丧失中标资格）及优化的差异性表述，填写完毕后交由</w:t>
      </w:r>
      <w:r>
        <w:rPr>
          <w:rFonts w:hint="eastAsia" w:ascii="宋体" w:hAnsi="宋体" w:cs="宋体"/>
          <w:color w:val="auto"/>
          <w:sz w:val="24"/>
          <w:szCs w:val="24"/>
          <w:lang w:eastAsia="zh-CN"/>
        </w:rPr>
        <w:t>采购人</w:t>
      </w:r>
      <w:r>
        <w:rPr>
          <w:rFonts w:hint="eastAsia" w:ascii="宋体" w:hAnsi="宋体" w:cs="宋体"/>
          <w:color w:val="auto"/>
          <w:sz w:val="24"/>
          <w:szCs w:val="24"/>
        </w:rPr>
        <w:t>采购工作组进行合议。</w:t>
      </w:r>
    </w:p>
    <w:p w14:paraId="6CC3A47F">
      <w:pPr>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3.“第二次报价单”报价最低的</w:t>
      </w:r>
      <w:r>
        <w:rPr>
          <w:rFonts w:hint="eastAsia" w:ascii="宋体" w:hAnsi="宋体" w:cs="宋体"/>
          <w:color w:val="auto"/>
          <w:sz w:val="24"/>
          <w:szCs w:val="24"/>
          <w:lang w:eastAsia="zh-CN"/>
        </w:rPr>
        <w:t>响应人</w:t>
      </w:r>
      <w:r>
        <w:rPr>
          <w:rFonts w:hint="eastAsia" w:ascii="宋体" w:hAnsi="宋体" w:cs="宋体"/>
          <w:color w:val="auto"/>
          <w:sz w:val="24"/>
          <w:szCs w:val="24"/>
        </w:rPr>
        <w:t>，暂定为中标第一候选人，并依次排序候选（相同报价时，优化的差异性表述“最优”者被暂定为中标第一候选人）。</w:t>
      </w:r>
      <w:r>
        <w:rPr>
          <w:rFonts w:hint="eastAsia" w:ascii="宋体" w:hAnsi="宋体" w:cs="宋体"/>
          <w:color w:val="auto"/>
          <w:sz w:val="24"/>
          <w:szCs w:val="24"/>
          <w:lang w:eastAsia="zh-CN"/>
        </w:rPr>
        <w:t>采购人</w:t>
      </w:r>
      <w:r>
        <w:rPr>
          <w:rFonts w:hint="eastAsia" w:ascii="宋体" w:hAnsi="宋体" w:cs="宋体"/>
          <w:color w:val="auto"/>
          <w:sz w:val="24"/>
          <w:szCs w:val="24"/>
        </w:rPr>
        <w:t>采购工作组将采购排序暂定结果向医院决策会议进行请示。</w:t>
      </w:r>
    </w:p>
    <w:p w14:paraId="7FC7FE81">
      <w:pPr>
        <w:spacing w:line="400" w:lineRule="exact"/>
        <w:ind w:firstLine="480" w:firstLineChars="200"/>
        <w:outlineLvl w:val="2"/>
        <w:rPr>
          <w:rFonts w:ascii="宋体" w:hAnsi="宋体" w:cs="宋体"/>
          <w:color w:val="auto"/>
          <w:sz w:val="24"/>
          <w:szCs w:val="28"/>
        </w:rPr>
      </w:pPr>
      <w:r>
        <w:rPr>
          <w:rFonts w:hint="eastAsia" w:ascii="宋体" w:hAnsi="宋体" w:cs="宋体"/>
          <w:color w:val="auto"/>
          <w:sz w:val="24"/>
          <w:szCs w:val="24"/>
        </w:rPr>
        <w:t>4.根据医院决策会议结论，确定中标人并在医院官网进行公示。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F2C30"/>
    <w:multiLevelType w:val="singleLevel"/>
    <w:tmpl w:val="C37F2C30"/>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zYzk1M2QwNTIyNzU5MWI5YzZmOWU5NTg0NzBlZGQifQ=="/>
  </w:docVars>
  <w:rsids>
    <w:rsidRoot w:val="00C176E1"/>
    <w:rsid w:val="0001335C"/>
    <w:rsid w:val="000516BD"/>
    <w:rsid w:val="0006587B"/>
    <w:rsid w:val="00091CB2"/>
    <w:rsid w:val="000A3F4A"/>
    <w:rsid w:val="000C3BCE"/>
    <w:rsid w:val="000D5F4A"/>
    <w:rsid w:val="000E7FF8"/>
    <w:rsid w:val="00101364"/>
    <w:rsid w:val="00125E01"/>
    <w:rsid w:val="00142032"/>
    <w:rsid w:val="0015158A"/>
    <w:rsid w:val="00154DF7"/>
    <w:rsid w:val="00185EC6"/>
    <w:rsid w:val="00187828"/>
    <w:rsid w:val="001B47AC"/>
    <w:rsid w:val="001E6EF7"/>
    <w:rsid w:val="001F26DC"/>
    <w:rsid w:val="002816A6"/>
    <w:rsid w:val="00295A11"/>
    <w:rsid w:val="002B24DF"/>
    <w:rsid w:val="002C4F7E"/>
    <w:rsid w:val="002E1004"/>
    <w:rsid w:val="002E5557"/>
    <w:rsid w:val="002E7A0A"/>
    <w:rsid w:val="002F18A3"/>
    <w:rsid w:val="002F6731"/>
    <w:rsid w:val="00315BDC"/>
    <w:rsid w:val="00322EE0"/>
    <w:rsid w:val="00354460"/>
    <w:rsid w:val="00373D32"/>
    <w:rsid w:val="003A2CC9"/>
    <w:rsid w:val="003A2D89"/>
    <w:rsid w:val="003B34C1"/>
    <w:rsid w:val="003E10F6"/>
    <w:rsid w:val="003E6329"/>
    <w:rsid w:val="003F6BD0"/>
    <w:rsid w:val="00425409"/>
    <w:rsid w:val="00440829"/>
    <w:rsid w:val="0044190B"/>
    <w:rsid w:val="00464AAA"/>
    <w:rsid w:val="004850E9"/>
    <w:rsid w:val="004B0E56"/>
    <w:rsid w:val="004D0506"/>
    <w:rsid w:val="005039E9"/>
    <w:rsid w:val="00562F2F"/>
    <w:rsid w:val="005674A3"/>
    <w:rsid w:val="005757D9"/>
    <w:rsid w:val="0058092A"/>
    <w:rsid w:val="005C250D"/>
    <w:rsid w:val="005D0E31"/>
    <w:rsid w:val="0060286C"/>
    <w:rsid w:val="00622107"/>
    <w:rsid w:val="006362D2"/>
    <w:rsid w:val="0066406A"/>
    <w:rsid w:val="00665924"/>
    <w:rsid w:val="006862CB"/>
    <w:rsid w:val="006C4587"/>
    <w:rsid w:val="006C7B78"/>
    <w:rsid w:val="006E4EF6"/>
    <w:rsid w:val="007017DF"/>
    <w:rsid w:val="0072109C"/>
    <w:rsid w:val="00763359"/>
    <w:rsid w:val="00771F94"/>
    <w:rsid w:val="00784978"/>
    <w:rsid w:val="007A02D7"/>
    <w:rsid w:val="007A4A78"/>
    <w:rsid w:val="007B74DC"/>
    <w:rsid w:val="007C2D9D"/>
    <w:rsid w:val="007C5335"/>
    <w:rsid w:val="007D1221"/>
    <w:rsid w:val="007F0582"/>
    <w:rsid w:val="00802E04"/>
    <w:rsid w:val="008151D9"/>
    <w:rsid w:val="00823D09"/>
    <w:rsid w:val="00826843"/>
    <w:rsid w:val="00840340"/>
    <w:rsid w:val="00851122"/>
    <w:rsid w:val="00851C2F"/>
    <w:rsid w:val="00862626"/>
    <w:rsid w:val="0087512C"/>
    <w:rsid w:val="00880156"/>
    <w:rsid w:val="00892E44"/>
    <w:rsid w:val="008A691C"/>
    <w:rsid w:val="008B16D1"/>
    <w:rsid w:val="008B21BE"/>
    <w:rsid w:val="008B24CC"/>
    <w:rsid w:val="008C5914"/>
    <w:rsid w:val="008E054D"/>
    <w:rsid w:val="008F7638"/>
    <w:rsid w:val="00900668"/>
    <w:rsid w:val="00920A75"/>
    <w:rsid w:val="0093709B"/>
    <w:rsid w:val="00955A52"/>
    <w:rsid w:val="0096522A"/>
    <w:rsid w:val="009664DE"/>
    <w:rsid w:val="00982AF0"/>
    <w:rsid w:val="009B4072"/>
    <w:rsid w:val="009F10F3"/>
    <w:rsid w:val="00A0465A"/>
    <w:rsid w:val="00A62287"/>
    <w:rsid w:val="00A74464"/>
    <w:rsid w:val="00A846BB"/>
    <w:rsid w:val="00AE7C70"/>
    <w:rsid w:val="00AF5A70"/>
    <w:rsid w:val="00B14FAA"/>
    <w:rsid w:val="00B4660B"/>
    <w:rsid w:val="00B62867"/>
    <w:rsid w:val="00B9196F"/>
    <w:rsid w:val="00BA07ED"/>
    <w:rsid w:val="00BA4431"/>
    <w:rsid w:val="00BD1330"/>
    <w:rsid w:val="00C011D1"/>
    <w:rsid w:val="00C176E1"/>
    <w:rsid w:val="00C23FE4"/>
    <w:rsid w:val="00C70940"/>
    <w:rsid w:val="00C77634"/>
    <w:rsid w:val="00C87345"/>
    <w:rsid w:val="00CA0318"/>
    <w:rsid w:val="00CB360C"/>
    <w:rsid w:val="00CC0F8C"/>
    <w:rsid w:val="00CC3A23"/>
    <w:rsid w:val="00CD68EB"/>
    <w:rsid w:val="00CF0AC2"/>
    <w:rsid w:val="00D30E8A"/>
    <w:rsid w:val="00D440CF"/>
    <w:rsid w:val="00D81347"/>
    <w:rsid w:val="00DA3EBC"/>
    <w:rsid w:val="00DD6892"/>
    <w:rsid w:val="00E3356F"/>
    <w:rsid w:val="00E54337"/>
    <w:rsid w:val="00E56D8C"/>
    <w:rsid w:val="00EC030C"/>
    <w:rsid w:val="00EF0F52"/>
    <w:rsid w:val="00EF5B86"/>
    <w:rsid w:val="00F02291"/>
    <w:rsid w:val="00F04561"/>
    <w:rsid w:val="00F05A4A"/>
    <w:rsid w:val="00F06525"/>
    <w:rsid w:val="00F26A30"/>
    <w:rsid w:val="00F35DE7"/>
    <w:rsid w:val="00F57D7D"/>
    <w:rsid w:val="00F619F1"/>
    <w:rsid w:val="00F734C9"/>
    <w:rsid w:val="00F92119"/>
    <w:rsid w:val="00F92B28"/>
    <w:rsid w:val="00FA1705"/>
    <w:rsid w:val="00FC209F"/>
    <w:rsid w:val="00FC21A4"/>
    <w:rsid w:val="00FD6C56"/>
    <w:rsid w:val="00FE3ACC"/>
    <w:rsid w:val="01286562"/>
    <w:rsid w:val="03DF1A22"/>
    <w:rsid w:val="058144F2"/>
    <w:rsid w:val="05F57742"/>
    <w:rsid w:val="0A7F284E"/>
    <w:rsid w:val="0B843EE0"/>
    <w:rsid w:val="0C813269"/>
    <w:rsid w:val="11EE016B"/>
    <w:rsid w:val="13510E7D"/>
    <w:rsid w:val="165C118C"/>
    <w:rsid w:val="17B4309A"/>
    <w:rsid w:val="18EE5889"/>
    <w:rsid w:val="20064598"/>
    <w:rsid w:val="211529D3"/>
    <w:rsid w:val="22A229F8"/>
    <w:rsid w:val="22E25D92"/>
    <w:rsid w:val="2D6D4B18"/>
    <w:rsid w:val="2F340AA1"/>
    <w:rsid w:val="30372FD2"/>
    <w:rsid w:val="310A0D01"/>
    <w:rsid w:val="328F0049"/>
    <w:rsid w:val="33B558D6"/>
    <w:rsid w:val="378A4746"/>
    <w:rsid w:val="3BBE5691"/>
    <w:rsid w:val="3D7A20BC"/>
    <w:rsid w:val="3DBE334C"/>
    <w:rsid w:val="3F156D76"/>
    <w:rsid w:val="3F1D6C2F"/>
    <w:rsid w:val="422647AB"/>
    <w:rsid w:val="456B6840"/>
    <w:rsid w:val="45B57920"/>
    <w:rsid w:val="464C0026"/>
    <w:rsid w:val="4E076E12"/>
    <w:rsid w:val="4E451884"/>
    <w:rsid w:val="4EAD187E"/>
    <w:rsid w:val="4FB55090"/>
    <w:rsid w:val="500B2474"/>
    <w:rsid w:val="50F639B0"/>
    <w:rsid w:val="52883CDA"/>
    <w:rsid w:val="54F222AC"/>
    <w:rsid w:val="558A49D4"/>
    <w:rsid w:val="57914433"/>
    <w:rsid w:val="5A754476"/>
    <w:rsid w:val="5E51439C"/>
    <w:rsid w:val="629C7F63"/>
    <w:rsid w:val="6396209E"/>
    <w:rsid w:val="63E861DD"/>
    <w:rsid w:val="679F1456"/>
    <w:rsid w:val="69305620"/>
    <w:rsid w:val="69C5055B"/>
    <w:rsid w:val="6AEC7A5B"/>
    <w:rsid w:val="6BEA657E"/>
    <w:rsid w:val="6E4B366E"/>
    <w:rsid w:val="706B79A6"/>
    <w:rsid w:val="70F353BF"/>
    <w:rsid w:val="74033B6B"/>
    <w:rsid w:val="74D63812"/>
    <w:rsid w:val="75E8568A"/>
    <w:rsid w:val="7A482688"/>
    <w:rsid w:val="7AE03DB3"/>
    <w:rsid w:val="7CDE70CA"/>
    <w:rsid w:val="7CFB2CA0"/>
    <w:rsid w:val="7E01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17"/>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4">
    <w:name w:val="heading 2"/>
    <w:basedOn w:val="1"/>
    <w:next w:val="5"/>
    <w:link w:val="18"/>
    <w:qFormat/>
    <w:uiPriority w:val="0"/>
    <w:pPr>
      <w:keepNext/>
      <w:keepLines/>
      <w:adjustRightInd w:val="0"/>
      <w:snapToGrid w:val="0"/>
      <w:spacing w:line="360" w:lineRule="auto"/>
      <w:outlineLvl w:val="1"/>
    </w:pPr>
    <w:rPr>
      <w:rFonts w:ascii="宋体" w:hAnsi="宋体"/>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qFormat/>
    <w:uiPriority w:val="0"/>
    <w:rPr>
      <w:rFonts w:ascii="仿宋_GB2312" w:eastAsia="仿宋_GB2312"/>
      <w:sz w:val="32"/>
    </w:rPr>
  </w:style>
  <w:style w:type="paragraph" w:styleId="5">
    <w:name w:val="Normal Indent"/>
    <w:basedOn w:val="1"/>
    <w:qFormat/>
    <w:uiPriority w:val="0"/>
    <w:pPr>
      <w:adjustRightInd w:val="0"/>
      <w:snapToGrid w:val="0"/>
      <w:spacing w:line="360" w:lineRule="auto"/>
      <w:ind w:firstLine="420"/>
    </w:pPr>
    <w:rPr>
      <w:sz w:val="24"/>
    </w:rPr>
  </w:style>
  <w:style w:type="paragraph" w:styleId="6">
    <w:name w:val="annotation text"/>
    <w:basedOn w:val="1"/>
    <w:link w:val="25"/>
    <w:unhideWhenUsed/>
    <w:qFormat/>
    <w:uiPriority w:val="99"/>
    <w:pPr>
      <w:jc w:val="left"/>
    </w:pPr>
  </w:style>
  <w:style w:type="paragraph" w:styleId="7">
    <w:name w:val="Body Text Indent"/>
    <w:basedOn w:val="1"/>
    <w:link w:val="22"/>
    <w:qFormat/>
    <w:uiPriority w:val="0"/>
    <w:pPr>
      <w:spacing w:line="700" w:lineRule="exact"/>
      <w:ind w:left="960"/>
    </w:pPr>
    <w:rPr>
      <w:sz w:val="44"/>
    </w:rPr>
  </w:style>
  <w:style w:type="paragraph" w:styleId="8">
    <w:name w:val="footer"/>
    <w:basedOn w:val="1"/>
    <w:link w:val="29"/>
    <w:unhideWhenUsed/>
    <w:qFormat/>
    <w:uiPriority w:val="99"/>
    <w:pPr>
      <w:tabs>
        <w:tab w:val="center" w:pos="4153"/>
        <w:tab w:val="right" w:pos="8306"/>
      </w:tabs>
      <w:snapToGrid w:val="0"/>
      <w:jc w:val="left"/>
    </w:pPr>
    <w:rPr>
      <w:sz w:val="18"/>
      <w:szCs w:val="18"/>
    </w:rPr>
  </w:style>
  <w:style w:type="paragraph" w:styleId="9">
    <w:name w:val="header"/>
    <w:basedOn w:val="1"/>
    <w:link w:val="28"/>
    <w:unhideWhenUsed/>
    <w:qFormat/>
    <w:uiPriority w:val="99"/>
    <w:pPr>
      <w:tabs>
        <w:tab w:val="center" w:pos="4153"/>
        <w:tab w:val="right" w:pos="8306"/>
      </w:tabs>
      <w:snapToGrid w:val="0"/>
      <w:jc w:val="center"/>
    </w:pPr>
    <w:rPr>
      <w:sz w:val="18"/>
      <w:szCs w:val="18"/>
    </w:rPr>
  </w:style>
  <w:style w:type="paragraph" w:styleId="10">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6"/>
    <w:next w:val="6"/>
    <w:link w:val="26"/>
    <w:semiHidden/>
    <w:unhideWhenUsed/>
    <w:qFormat/>
    <w:uiPriority w:val="99"/>
    <w:rPr>
      <w:b/>
      <w:bCs/>
    </w:rPr>
  </w:style>
  <w:style w:type="paragraph" w:styleId="12">
    <w:name w:val="Body Text First Indent"/>
    <w:basedOn w:val="2"/>
    <w:link w:val="23"/>
    <w:qFormat/>
    <w:uiPriority w:val="0"/>
    <w:pPr>
      <w:spacing w:line="360" w:lineRule="auto"/>
      <w:ind w:firstLine="420"/>
    </w:pPr>
    <w:rPr>
      <w:rFonts w:ascii="宋体" w:hAnsi="宋体"/>
      <w:sz w:val="24"/>
    </w:rPr>
  </w:style>
  <w:style w:type="table" w:styleId="14">
    <w:name w:val="Table Grid"/>
    <w:basedOn w:val="13"/>
    <w:autoRedefine/>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basedOn w:val="15"/>
    <w:semiHidden/>
    <w:unhideWhenUsed/>
    <w:qFormat/>
    <w:uiPriority w:val="99"/>
    <w:rPr>
      <w:sz w:val="21"/>
      <w:szCs w:val="21"/>
    </w:rPr>
  </w:style>
  <w:style w:type="character" w:customStyle="1" w:styleId="17">
    <w:name w:val="标题 1 Char"/>
    <w:basedOn w:val="15"/>
    <w:link w:val="3"/>
    <w:qFormat/>
    <w:uiPriority w:val="0"/>
    <w:rPr>
      <w:rFonts w:ascii="Times New Roman" w:hAnsi="Times New Roman" w:eastAsia="黑体" w:cs="Times New Roman"/>
      <w:sz w:val="44"/>
      <w:szCs w:val="20"/>
    </w:rPr>
  </w:style>
  <w:style w:type="character" w:customStyle="1" w:styleId="18">
    <w:name w:val="标题 2 Char"/>
    <w:basedOn w:val="15"/>
    <w:link w:val="4"/>
    <w:qFormat/>
    <w:uiPriority w:val="0"/>
    <w:rPr>
      <w:rFonts w:ascii="宋体" w:hAnsi="宋体" w:eastAsia="宋体" w:cs="Times New Roman"/>
      <w:sz w:val="28"/>
      <w:szCs w:val="20"/>
    </w:rPr>
  </w:style>
  <w:style w:type="character" w:customStyle="1" w:styleId="19">
    <w:name w:val="正文文本 Char"/>
    <w:basedOn w:val="15"/>
    <w:link w:val="2"/>
    <w:qFormat/>
    <w:uiPriority w:val="0"/>
    <w:rPr>
      <w:rFonts w:ascii="仿宋_GB2312" w:hAnsi="Times New Roman" w:eastAsia="仿宋_GB2312" w:cs="Times New Roman"/>
      <w:sz w:val="32"/>
      <w:szCs w:val="20"/>
    </w:rPr>
  </w:style>
  <w:style w:type="paragraph" w:styleId="20">
    <w:name w:val="Quote"/>
    <w:basedOn w:val="1"/>
    <w:next w:val="1"/>
    <w:link w:val="21"/>
    <w:qFormat/>
    <w:uiPriority w:val="0"/>
    <w:pPr>
      <w:wordWrap w:val="0"/>
      <w:spacing w:before="200" w:after="160"/>
      <w:ind w:left="864" w:right="864"/>
      <w:jc w:val="center"/>
    </w:pPr>
    <w:rPr>
      <w:i/>
      <w:sz w:val="21"/>
    </w:rPr>
  </w:style>
  <w:style w:type="character" w:customStyle="1" w:styleId="21">
    <w:name w:val="引用 Char"/>
    <w:basedOn w:val="15"/>
    <w:link w:val="20"/>
    <w:qFormat/>
    <w:uiPriority w:val="0"/>
    <w:rPr>
      <w:rFonts w:ascii="Times New Roman" w:hAnsi="Times New Roman" w:eastAsia="宋体" w:cs="Times New Roman"/>
      <w:i/>
      <w:szCs w:val="20"/>
    </w:rPr>
  </w:style>
  <w:style w:type="character" w:customStyle="1" w:styleId="22">
    <w:name w:val="正文文本缩进 Char"/>
    <w:basedOn w:val="15"/>
    <w:link w:val="7"/>
    <w:qFormat/>
    <w:uiPriority w:val="0"/>
    <w:rPr>
      <w:rFonts w:ascii="Times New Roman" w:hAnsi="Times New Roman" w:eastAsia="宋体" w:cs="Times New Roman"/>
      <w:sz w:val="44"/>
      <w:szCs w:val="20"/>
    </w:rPr>
  </w:style>
  <w:style w:type="character" w:customStyle="1" w:styleId="23">
    <w:name w:val="正文首行缩进 Char"/>
    <w:basedOn w:val="19"/>
    <w:link w:val="12"/>
    <w:qFormat/>
    <w:uiPriority w:val="0"/>
    <w:rPr>
      <w:rFonts w:ascii="宋体" w:hAnsi="宋体" w:eastAsia="仿宋_GB2312" w:cs="Times New Roman"/>
      <w:sz w:val="24"/>
      <w:szCs w:val="20"/>
    </w:rPr>
  </w:style>
  <w:style w:type="paragraph" w:customStyle="1" w:styleId="24">
    <w:name w:val="图例"/>
    <w:basedOn w:val="1"/>
    <w:qFormat/>
    <w:uiPriority w:val="0"/>
    <w:pPr>
      <w:spacing w:before="120" w:after="120" w:line="360" w:lineRule="auto"/>
      <w:jc w:val="center"/>
    </w:pPr>
    <w:rPr>
      <w:rFonts w:eastAsia="仿宋_GB2312"/>
      <w:b/>
      <w:sz w:val="24"/>
    </w:rPr>
  </w:style>
  <w:style w:type="character" w:customStyle="1" w:styleId="25">
    <w:name w:val="批注文字 Char"/>
    <w:basedOn w:val="15"/>
    <w:link w:val="6"/>
    <w:qFormat/>
    <w:uiPriority w:val="99"/>
    <w:rPr>
      <w:rFonts w:ascii="Times New Roman" w:hAnsi="Times New Roman" w:eastAsia="宋体" w:cs="Times New Roman"/>
      <w:sz w:val="28"/>
      <w:szCs w:val="20"/>
    </w:rPr>
  </w:style>
  <w:style w:type="character" w:customStyle="1" w:styleId="26">
    <w:name w:val="批注主题 Char"/>
    <w:basedOn w:val="25"/>
    <w:link w:val="11"/>
    <w:semiHidden/>
    <w:qFormat/>
    <w:uiPriority w:val="99"/>
    <w:rPr>
      <w:rFonts w:ascii="Times New Roman" w:hAnsi="Times New Roman" w:eastAsia="宋体" w:cs="Times New Roman"/>
      <w:b/>
      <w:bCs/>
      <w:sz w:val="28"/>
      <w:szCs w:val="20"/>
    </w:rPr>
  </w:style>
  <w:style w:type="paragraph" w:customStyle="1" w:styleId="27">
    <w:name w:val="修订1"/>
    <w:hidden/>
    <w:semiHidden/>
    <w:qFormat/>
    <w:uiPriority w:val="99"/>
    <w:rPr>
      <w:rFonts w:ascii="Times New Roman" w:hAnsi="Times New Roman" w:eastAsia="宋体" w:cs="Times New Roman"/>
      <w:kern w:val="2"/>
      <w:sz w:val="28"/>
      <w:lang w:val="en-US" w:eastAsia="zh-CN" w:bidi="ar-SA"/>
    </w:rPr>
  </w:style>
  <w:style w:type="character" w:customStyle="1" w:styleId="28">
    <w:name w:val="页眉 Char"/>
    <w:basedOn w:val="15"/>
    <w:link w:val="9"/>
    <w:qFormat/>
    <w:uiPriority w:val="99"/>
    <w:rPr>
      <w:rFonts w:ascii="Times New Roman" w:hAnsi="Times New Roman" w:eastAsia="宋体" w:cs="Times New Roman"/>
      <w:sz w:val="18"/>
      <w:szCs w:val="18"/>
    </w:rPr>
  </w:style>
  <w:style w:type="character" w:customStyle="1" w:styleId="29">
    <w:name w:val="页脚 Char"/>
    <w:basedOn w:val="15"/>
    <w:link w:val="8"/>
    <w:qFormat/>
    <w:uiPriority w:val="99"/>
    <w:rPr>
      <w:rFonts w:ascii="Times New Roman" w:hAnsi="Times New Roman" w:eastAsia="宋体" w:cs="Times New Roman"/>
      <w:sz w:val="18"/>
      <w:szCs w:val="18"/>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2628</Words>
  <Characters>2718</Characters>
  <Lines>19</Lines>
  <Paragraphs>5</Paragraphs>
  <TotalTime>0</TotalTime>
  <ScaleCrop>false</ScaleCrop>
  <LinksUpToDate>false</LinksUpToDate>
  <CharactersWithSpaces>2719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2024-07-18T15:26:00Z</dcterms:created>
  <dc:creator>渭 张</dc:creator>
  <cp:lastModifiedBy>瞿瑆</cp:lastModifiedBy>
  <cp:lastPrinted>2024-07-25T01:53:00Z</cp:lastPrinted>
  <dcterms:modified xsi:type="dcterms:W3CDTF">2025-04-15T02:58:21Z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E3A9FE0C06DF439882FB0F51152A3E88_13</vt:lpwstr>
  </property>
  <property fmtid="{D5CDD505-2E9C-101B-9397-08002B2CF9AE}" pid="4" name="KSOTemplateDocerSaveRecord">
    <vt:lpwstr>eyJoZGlkIjoiNmVhOTg0N2FlNzNjZDQyZmYxZDkwNzZlM2E0MjNkNTgiLCJ1c2VySWQiOiI0NTY5NTEzNzkifQ==</vt:lpwstr>
  </property>
</Properties>
</file>